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line="360" w:lineRule="auto"/>
        <w:ind w:firstLine="482"/>
        <w:jc w:val="center"/>
        <w:rPr>
          <w:rFonts w:eastAsia="仿宋_GB2312"/>
          <w:b/>
          <w:bCs/>
          <w:color w:val="auto"/>
          <w:sz w:val="48"/>
          <w:szCs w:val="48"/>
        </w:rPr>
      </w:pPr>
      <w:bookmarkStart w:id="0" w:name="_Hlk85576210"/>
      <w:bookmarkEnd w:id="0"/>
      <w:r>
        <w:rPr>
          <w:rFonts w:eastAsia="仿宋_GB2312"/>
          <w:b/>
          <w:bCs/>
          <w:color w:val="auto"/>
          <w:sz w:val="48"/>
          <w:szCs w:val="48"/>
        </w:rPr>
        <w:t>施工图设计说明</w:t>
      </w:r>
    </w:p>
    <w:p>
      <w:pPr>
        <w:pStyle w:val="294"/>
        <w:rPr>
          <w:rFonts w:cs="Times New Roman"/>
          <w:color w:val="auto"/>
        </w:rPr>
        <w:sectPr>
          <w:headerReference r:id="rId3" w:type="default"/>
          <w:footerReference r:id="rId4" w:type="default"/>
          <w:footerReference r:id="rId5" w:type="even"/>
          <w:type w:val="continuous"/>
          <w:pgSz w:w="23814" w:h="16840" w:orient="landscape"/>
          <w:pgMar w:top="1797" w:right="1440" w:bottom="1797" w:left="1470" w:header="851" w:footer="992" w:gutter="0"/>
          <w:cols w:space="792" w:num="1"/>
          <w:docGrid w:type="lines" w:linePitch="312" w:charSpace="0"/>
        </w:sectPr>
      </w:pPr>
    </w:p>
    <w:p>
      <w:pPr>
        <w:pStyle w:val="294"/>
        <w:rPr>
          <w:rFonts w:cs="Times New Roman"/>
          <w:color w:val="auto"/>
        </w:rPr>
      </w:pPr>
      <w:r>
        <w:rPr>
          <w:rFonts w:cs="Times New Roman"/>
          <w:color w:val="auto"/>
        </w:rPr>
        <w:t>1 总体工程</w:t>
      </w:r>
    </w:p>
    <w:p>
      <w:pPr>
        <w:pStyle w:val="295"/>
        <w:rPr>
          <w:color w:val="auto"/>
        </w:rPr>
      </w:pPr>
      <w:r>
        <w:rPr>
          <w:color w:val="auto"/>
        </w:rPr>
        <w:t>1.1 工程概述</w:t>
      </w:r>
    </w:p>
    <w:p>
      <w:pPr>
        <w:spacing w:line="360" w:lineRule="auto"/>
        <w:ind w:firstLine="480" w:firstLineChars="200"/>
        <w:rPr>
          <w:rFonts w:eastAsia="仿宋_GB2312"/>
          <w:color w:val="auto"/>
          <w:sz w:val="24"/>
        </w:rPr>
      </w:pPr>
      <w:r>
        <w:rPr>
          <w:rFonts w:hint="eastAsia" w:eastAsia="仿宋_GB2312"/>
          <w:color w:val="auto"/>
          <w:sz w:val="24"/>
        </w:rPr>
        <w:t>本工程为安徽高速收费站及园区污水处理系统改造及市政接驳工程。</w:t>
      </w:r>
    </w:p>
    <w:p>
      <w:pPr>
        <w:spacing w:line="360" w:lineRule="auto"/>
        <w:ind w:firstLine="480" w:firstLineChars="200"/>
        <w:rPr>
          <w:rFonts w:eastAsia="仿宋_GB2312"/>
          <w:color w:val="auto"/>
          <w:sz w:val="24"/>
        </w:rPr>
      </w:pPr>
      <w:r>
        <w:rPr>
          <w:rFonts w:hint="eastAsia" w:eastAsia="仿宋_GB2312"/>
          <w:color w:val="auto"/>
          <w:sz w:val="24"/>
        </w:rPr>
        <w:t>工程受安徽交控集团皖通公司委托，经前期对接，项目涉及安徽省境内254个高速收费站及办公园区，区位分散，涉及萧县管理处、宿州中心、界阜蚌公司、阜阳管理处、蚌埠管理处、淮南</w:t>
      </w:r>
      <w:bookmarkStart w:id="1" w:name="_Hlk101204196"/>
      <w:r>
        <w:rPr>
          <w:rFonts w:hint="eastAsia" w:eastAsia="仿宋_GB2312"/>
          <w:color w:val="auto"/>
          <w:sz w:val="24"/>
        </w:rPr>
        <w:t>管理处、六安北管理处及六安西管理处等24个片区。</w:t>
      </w:r>
    </w:p>
    <w:p>
      <w:pPr>
        <w:spacing w:line="360" w:lineRule="auto"/>
        <w:ind w:firstLine="480" w:firstLineChars="200"/>
        <w:rPr>
          <w:rFonts w:eastAsia="仿宋_GB2312"/>
          <w:color w:val="auto"/>
          <w:sz w:val="24"/>
        </w:rPr>
      </w:pPr>
      <w:r>
        <w:rPr>
          <w:rFonts w:hint="eastAsia" w:eastAsia="仿宋_GB2312"/>
          <w:color w:val="auto"/>
          <w:sz w:val="24"/>
        </w:rPr>
        <w:t>因涉及到的收费站较多，经与建设单位对接，计划分两批次实施，本次设计包含2022年实施的第一批次，主要涉及到</w:t>
      </w:r>
      <w:bookmarkEnd w:id="1"/>
      <w:r>
        <w:rPr>
          <w:rFonts w:hint="eastAsia" w:eastAsia="仿宋_GB2312"/>
          <w:color w:val="auto"/>
          <w:sz w:val="24"/>
        </w:rPr>
        <w:t>蚌埠管理处及收费站、双庙收费站、梁园收费站等77个收费站及园区。</w:t>
      </w:r>
    </w:p>
    <w:p>
      <w:pPr>
        <w:pStyle w:val="295"/>
        <w:rPr>
          <w:color w:val="auto"/>
        </w:rPr>
      </w:pPr>
      <w:r>
        <w:rPr>
          <w:color w:val="auto"/>
        </w:rPr>
        <w:t>1.2 工程背景</w:t>
      </w:r>
    </w:p>
    <w:p>
      <w:pPr>
        <w:spacing w:line="360" w:lineRule="auto"/>
        <w:ind w:firstLine="480" w:firstLineChars="200"/>
        <w:rPr>
          <w:rFonts w:eastAsia="仿宋_GB2312"/>
          <w:color w:val="auto"/>
          <w:sz w:val="24"/>
        </w:rPr>
      </w:pPr>
      <w:r>
        <w:rPr>
          <w:rFonts w:eastAsia="仿宋_GB2312"/>
          <w:color w:val="auto"/>
          <w:sz w:val="24"/>
        </w:rPr>
        <w:t>本项目符合国家、省对水环境保护的政策要求，加快补齐</w:t>
      </w:r>
      <w:r>
        <w:rPr>
          <w:rFonts w:hint="eastAsia" w:eastAsia="仿宋_GB2312"/>
          <w:color w:val="auto"/>
          <w:sz w:val="24"/>
        </w:rPr>
        <w:t>收费站</w:t>
      </w:r>
      <w:r>
        <w:rPr>
          <w:rFonts w:eastAsia="仿宋_GB2312"/>
          <w:color w:val="auto"/>
          <w:sz w:val="24"/>
        </w:rPr>
        <w:t>污水收集处理设施短板，尽快实现污水管网全覆盖，生活污水全收集、全处理，使得</w:t>
      </w:r>
      <w:r>
        <w:rPr>
          <w:rFonts w:hint="eastAsia" w:eastAsia="仿宋_GB2312"/>
          <w:color w:val="auto"/>
          <w:sz w:val="24"/>
        </w:rPr>
        <w:t>收费站及园区</w:t>
      </w:r>
      <w:r>
        <w:rPr>
          <w:rFonts w:eastAsia="仿宋_GB2312"/>
          <w:color w:val="auto"/>
          <w:sz w:val="24"/>
        </w:rPr>
        <w:t>水环境系统可持续良性发展，消除</w:t>
      </w:r>
      <w:r>
        <w:rPr>
          <w:rFonts w:hint="eastAsia" w:eastAsia="仿宋_GB2312"/>
          <w:color w:val="auto"/>
          <w:sz w:val="24"/>
        </w:rPr>
        <w:t>收费站及园区</w:t>
      </w:r>
      <w:r>
        <w:rPr>
          <w:rFonts w:eastAsia="仿宋_GB2312"/>
          <w:color w:val="auto"/>
          <w:sz w:val="24"/>
        </w:rPr>
        <w:t>周边水污染，保护周边生态环境，同时对周边城镇污水处理提质增效行动添砖加瓦。</w:t>
      </w:r>
    </w:p>
    <w:p>
      <w:pPr>
        <w:pStyle w:val="295"/>
        <w:rPr>
          <w:color w:val="auto"/>
        </w:rPr>
      </w:pPr>
      <w:r>
        <w:rPr>
          <w:color w:val="auto"/>
        </w:rPr>
        <w:t>1.3 工程范围和内容</w:t>
      </w:r>
    </w:p>
    <w:p>
      <w:pPr>
        <w:pStyle w:val="295"/>
        <w:ind w:left="0" w:firstLine="480" w:firstLineChars="200"/>
        <w:outlineLvl w:val="9"/>
        <w:rPr>
          <w:b w:val="0"/>
          <w:color w:val="auto"/>
          <w:sz w:val="24"/>
          <w:szCs w:val="20"/>
        </w:rPr>
      </w:pPr>
      <w:r>
        <w:rPr>
          <w:rFonts w:hint="eastAsia"/>
          <w:b w:val="0"/>
          <w:color w:val="auto"/>
          <w:sz w:val="24"/>
          <w:szCs w:val="20"/>
        </w:rPr>
        <w:t>根据前期与建设单位的对接，最终确定本次实施污水改造的收费站及园区数量为77个，其中24个收费站及园区的生活污水采用接驳市政（城镇）管网的方案，剩余53个收费站及园区的生活污水暂无接驳市政的可行性，暂采用新建、更新污水处理设备的方案，具体如下：</w:t>
      </w:r>
    </w:p>
    <w:p>
      <w:pPr>
        <w:pStyle w:val="295"/>
        <w:ind w:left="0" w:firstLine="482" w:firstLineChars="200"/>
        <w:jc w:val="center"/>
        <w:outlineLvl w:val="9"/>
        <w:rPr>
          <w:bCs/>
          <w:color w:val="auto"/>
          <w:sz w:val="24"/>
          <w:szCs w:val="20"/>
        </w:rPr>
      </w:pPr>
      <w:r>
        <w:rPr>
          <w:rFonts w:hint="eastAsia"/>
          <w:bCs/>
          <w:color w:val="auto"/>
          <w:sz w:val="24"/>
          <w:szCs w:val="20"/>
        </w:rPr>
        <w:t>24个收费站及园区市政污水接驳表</w:t>
      </w:r>
    </w:p>
    <w:tbl>
      <w:tblPr>
        <w:tblStyle w:val="4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9"/>
        <w:gridCol w:w="1985"/>
        <w:gridCol w:w="2913"/>
        <w:gridCol w:w="2009"/>
        <w:gridCol w:w="20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spacing w:line="360" w:lineRule="auto"/>
              <w:jc w:val="center"/>
              <w:rPr>
                <w:bCs/>
                <w:color w:val="auto"/>
                <w:sz w:val="24"/>
              </w:rPr>
            </w:pPr>
            <w:r>
              <w:rPr>
                <w:rFonts w:hint="eastAsia" w:eastAsia="仿宋_GB2312"/>
                <w:b/>
                <w:bCs/>
                <w:color w:val="auto"/>
                <w:szCs w:val="21"/>
              </w:rPr>
              <w:t>序号</w:t>
            </w:r>
          </w:p>
        </w:tc>
        <w:tc>
          <w:tcPr>
            <w:tcW w:w="1985" w:type="dxa"/>
            <w:vAlign w:val="center"/>
          </w:tcPr>
          <w:p>
            <w:pPr>
              <w:spacing w:line="360" w:lineRule="auto"/>
              <w:jc w:val="center"/>
              <w:rPr>
                <w:bCs/>
                <w:color w:val="auto"/>
                <w:sz w:val="24"/>
              </w:rPr>
            </w:pPr>
            <w:r>
              <w:rPr>
                <w:rFonts w:hint="eastAsia" w:eastAsia="仿宋_GB2312"/>
                <w:b/>
                <w:bCs/>
                <w:color w:val="auto"/>
                <w:szCs w:val="21"/>
              </w:rPr>
              <w:t>管理处</w:t>
            </w:r>
          </w:p>
        </w:tc>
        <w:tc>
          <w:tcPr>
            <w:tcW w:w="2913" w:type="dxa"/>
            <w:vAlign w:val="center"/>
          </w:tcPr>
          <w:p>
            <w:pPr>
              <w:pStyle w:val="295"/>
              <w:ind w:left="0" w:firstLine="0"/>
              <w:jc w:val="center"/>
              <w:rPr>
                <w:bCs/>
                <w:color w:val="auto"/>
                <w:sz w:val="24"/>
                <w:szCs w:val="20"/>
              </w:rPr>
            </w:pPr>
            <w:r>
              <w:rPr>
                <w:rFonts w:hint="eastAsia"/>
                <w:bCs/>
                <w:color w:val="auto"/>
                <w:sz w:val="21"/>
                <w:szCs w:val="21"/>
              </w:rPr>
              <w:t>收费站</w:t>
            </w:r>
          </w:p>
        </w:tc>
        <w:tc>
          <w:tcPr>
            <w:tcW w:w="2009" w:type="dxa"/>
            <w:vAlign w:val="center"/>
          </w:tcPr>
          <w:p>
            <w:pPr>
              <w:pStyle w:val="295"/>
              <w:ind w:left="0" w:firstLine="0"/>
              <w:jc w:val="center"/>
              <w:rPr>
                <w:bCs/>
                <w:color w:val="auto"/>
                <w:sz w:val="21"/>
                <w:szCs w:val="21"/>
              </w:rPr>
            </w:pPr>
            <w:r>
              <w:rPr>
                <w:rFonts w:hint="eastAsia"/>
                <w:bCs/>
                <w:color w:val="auto"/>
                <w:sz w:val="21"/>
                <w:szCs w:val="21"/>
              </w:rPr>
              <w:t>接驳路径长度</w:t>
            </w:r>
          </w:p>
        </w:tc>
        <w:tc>
          <w:tcPr>
            <w:tcW w:w="2010" w:type="dxa"/>
            <w:vAlign w:val="center"/>
          </w:tcPr>
          <w:p>
            <w:pPr>
              <w:pStyle w:val="295"/>
              <w:ind w:left="0" w:firstLine="0"/>
              <w:jc w:val="center"/>
              <w:rPr>
                <w:bCs/>
                <w:color w:val="auto"/>
                <w:sz w:val="21"/>
                <w:szCs w:val="21"/>
              </w:rPr>
            </w:pPr>
            <w:r>
              <w:rPr>
                <w:rFonts w:hint="eastAsia"/>
                <w:bCs/>
                <w:color w:val="auto"/>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合安处</w:t>
            </w: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安庆北收费站</w:t>
            </w:r>
          </w:p>
        </w:tc>
        <w:tc>
          <w:tcPr>
            <w:tcW w:w="2009" w:type="dxa"/>
            <w:vAlign w:val="center"/>
          </w:tcPr>
          <w:p>
            <w:pPr>
              <w:pStyle w:val="295"/>
              <w:ind w:left="0" w:firstLine="0"/>
              <w:jc w:val="center"/>
              <w:rPr>
                <w:bCs/>
                <w:color w:val="auto"/>
                <w:sz w:val="24"/>
                <w:szCs w:val="20"/>
              </w:rPr>
            </w:pPr>
            <w:r>
              <w:rPr>
                <w:rFonts w:hint="eastAsia"/>
                <w:b w:val="0"/>
                <w:color w:val="auto"/>
                <w:sz w:val="21"/>
                <w:szCs w:val="21"/>
              </w:rPr>
              <w:t>0.5</w:t>
            </w:r>
          </w:p>
        </w:tc>
        <w:tc>
          <w:tcPr>
            <w:tcW w:w="2010" w:type="dxa"/>
            <w:vAlign w:val="center"/>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合巢芜处</w:t>
            </w: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芜湖北收费站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0.9</w:t>
            </w:r>
          </w:p>
        </w:tc>
        <w:tc>
          <w:tcPr>
            <w:tcW w:w="2010" w:type="dxa"/>
            <w:vAlign w:val="center"/>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合肥处</w:t>
            </w: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龙塘站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0.4</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包河站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2</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5</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蜀山站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3</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机场站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2</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7</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淮南处</w:t>
            </w: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永丰收费站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1.6</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凤台收费站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0.5</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9</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安丰收费站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0.9</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10</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六安北</w:t>
            </w: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大顾店收费站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0.8</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11</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大顾店工区</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12</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金寨保畅分中心</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1.8/1.2</w:t>
            </w:r>
          </w:p>
        </w:tc>
        <w:tc>
          <w:tcPr>
            <w:tcW w:w="2010" w:type="dxa"/>
            <w:vAlign w:val="center"/>
          </w:tcPr>
          <w:p>
            <w:pPr>
              <w:pStyle w:val="295"/>
              <w:spacing w:line="240" w:lineRule="auto"/>
              <w:ind w:left="0"/>
              <w:jc w:val="left"/>
              <w:rPr>
                <w:b w:val="0"/>
                <w:color w:val="auto"/>
                <w:sz w:val="21"/>
                <w:szCs w:val="21"/>
              </w:rPr>
            </w:pPr>
            <w:r>
              <w:rPr>
                <w:rFonts w:hint="eastAsia"/>
                <w:b w:val="0"/>
                <w:color w:val="auto"/>
                <w:sz w:val="21"/>
                <w:szCs w:val="21"/>
              </w:rPr>
              <w:t>办办公园区新建污水重力管网，接入市政，接驳长度1.8km；收费站设置泵排，接入市政，接驳长度1.2km。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13</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天堂寨收费站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0.6</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14</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天堂寨养护工区</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0.8</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15</w:t>
            </w:r>
          </w:p>
        </w:tc>
        <w:tc>
          <w:tcPr>
            <w:tcW w:w="1985" w:type="dxa"/>
            <w:vMerge w:val="continue"/>
            <w:vAlign w:val="center"/>
          </w:tcPr>
          <w:p>
            <w:pPr>
              <w:spacing w:line="360" w:lineRule="auto"/>
              <w:jc w:val="center"/>
              <w:rPr>
                <w:rFonts w:eastAsia="仿宋_GB2312"/>
                <w:color w:val="auto"/>
                <w:szCs w:val="21"/>
              </w:rPr>
            </w:pPr>
          </w:p>
        </w:tc>
        <w:tc>
          <w:tcPr>
            <w:tcW w:w="2913" w:type="dxa"/>
            <w:vAlign w:val="center"/>
          </w:tcPr>
          <w:p>
            <w:pPr>
              <w:spacing w:line="360" w:lineRule="auto"/>
              <w:jc w:val="center"/>
              <w:rPr>
                <w:rFonts w:eastAsia="仿宋_GB2312"/>
                <w:color w:val="auto"/>
                <w:szCs w:val="21"/>
              </w:rPr>
            </w:pPr>
            <w:r>
              <w:rPr>
                <w:rFonts w:hint="eastAsia" w:eastAsia="仿宋_GB2312"/>
                <w:color w:val="auto"/>
                <w:szCs w:val="21"/>
              </w:rPr>
              <w:t>六安北收费站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0.45</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16</w:t>
            </w:r>
          </w:p>
        </w:tc>
        <w:tc>
          <w:tcPr>
            <w:tcW w:w="1985" w:type="dxa"/>
            <w:vAlign w:val="center"/>
          </w:tcPr>
          <w:p>
            <w:pPr>
              <w:pStyle w:val="295"/>
              <w:ind w:left="0" w:firstLine="0"/>
              <w:jc w:val="center"/>
              <w:rPr>
                <w:b w:val="0"/>
                <w:color w:val="auto"/>
                <w:sz w:val="21"/>
                <w:szCs w:val="21"/>
              </w:rPr>
            </w:pPr>
            <w:r>
              <w:rPr>
                <w:rFonts w:hint="eastAsia"/>
                <w:b w:val="0"/>
                <w:color w:val="auto"/>
                <w:sz w:val="21"/>
                <w:szCs w:val="21"/>
              </w:rPr>
              <w:t>六安西</w:t>
            </w:r>
          </w:p>
        </w:tc>
        <w:tc>
          <w:tcPr>
            <w:tcW w:w="2913" w:type="dxa"/>
            <w:vAlign w:val="center"/>
          </w:tcPr>
          <w:p>
            <w:pPr>
              <w:pStyle w:val="295"/>
              <w:ind w:left="0" w:firstLine="0"/>
              <w:jc w:val="center"/>
              <w:rPr>
                <w:b w:val="0"/>
                <w:color w:val="auto"/>
                <w:sz w:val="21"/>
                <w:szCs w:val="21"/>
              </w:rPr>
            </w:pPr>
            <w:r>
              <w:rPr>
                <w:rFonts w:hint="eastAsia"/>
                <w:b w:val="0"/>
                <w:color w:val="auto"/>
                <w:sz w:val="21"/>
                <w:szCs w:val="21"/>
              </w:rPr>
              <w:t>大别山东收费站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0.2</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17</w:t>
            </w:r>
          </w:p>
        </w:tc>
        <w:tc>
          <w:tcPr>
            <w:tcW w:w="1985" w:type="dxa"/>
            <w:vMerge w:val="restart"/>
            <w:vAlign w:val="center"/>
          </w:tcPr>
          <w:p>
            <w:pPr>
              <w:pStyle w:val="295"/>
              <w:ind w:left="0" w:firstLine="0"/>
              <w:jc w:val="center"/>
              <w:rPr>
                <w:b w:val="0"/>
                <w:color w:val="auto"/>
                <w:sz w:val="21"/>
                <w:szCs w:val="21"/>
              </w:rPr>
            </w:pPr>
            <w:r>
              <w:rPr>
                <w:rFonts w:hint="eastAsia"/>
                <w:b w:val="0"/>
                <w:color w:val="auto"/>
                <w:sz w:val="21"/>
                <w:szCs w:val="21"/>
              </w:rPr>
              <w:t>庐江公司</w:t>
            </w:r>
          </w:p>
        </w:tc>
        <w:tc>
          <w:tcPr>
            <w:tcW w:w="2913" w:type="dxa"/>
            <w:vAlign w:val="center"/>
          </w:tcPr>
          <w:p>
            <w:pPr>
              <w:pStyle w:val="295"/>
              <w:ind w:left="0" w:firstLine="0"/>
              <w:jc w:val="center"/>
              <w:rPr>
                <w:b w:val="0"/>
                <w:color w:val="auto"/>
                <w:sz w:val="21"/>
                <w:szCs w:val="21"/>
              </w:rPr>
            </w:pPr>
            <w:r>
              <w:rPr>
                <w:rFonts w:hint="eastAsia"/>
                <w:b w:val="0"/>
                <w:color w:val="auto"/>
                <w:sz w:val="21"/>
                <w:szCs w:val="21"/>
              </w:rPr>
              <w:t>泥河收费站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18</w:t>
            </w:r>
          </w:p>
        </w:tc>
        <w:tc>
          <w:tcPr>
            <w:tcW w:w="1985" w:type="dxa"/>
            <w:vMerge w:val="continue"/>
            <w:vAlign w:val="center"/>
          </w:tcPr>
          <w:p>
            <w:pPr>
              <w:pStyle w:val="295"/>
              <w:ind w:left="0" w:firstLine="0"/>
              <w:jc w:val="center"/>
              <w:rPr>
                <w:b w:val="0"/>
                <w:color w:val="auto"/>
                <w:sz w:val="21"/>
                <w:szCs w:val="21"/>
              </w:rPr>
            </w:pPr>
          </w:p>
        </w:tc>
        <w:tc>
          <w:tcPr>
            <w:tcW w:w="2913" w:type="dxa"/>
            <w:vAlign w:val="center"/>
          </w:tcPr>
          <w:p>
            <w:pPr>
              <w:pStyle w:val="295"/>
              <w:ind w:left="0" w:firstLine="0"/>
              <w:jc w:val="center"/>
              <w:rPr>
                <w:b w:val="0"/>
                <w:color w:val="auto"/>
                <w:sz w:val="21"/>
                <w:szCs w:val="21"/>
              </w:rPr>
            </w:pPr>
            <w:r>
              <w:rPr>
                <w:rFonts w:hint="eastAsia"/>
                <w:b w:val="0"/>
                <w:color w:val="auto"/>
                <w:sz w:val="21"/>
                <w:szCs w:val="21"/>
              </w:rPr>
              <w:t>横埠收费站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1.5</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19</w:t>
            </w:r>
          </w:p>
        </w:tc>
        <w:tc>
          <w:tcPr>
            <w:tcW w:w="1985" w:type="dxa"/>
            <w:vMerge w:val="restart"/>
            <w:vAlign w:val="center"/>
          </w:tcPr>
          <w:p>
            <w:pPr>
              <w:pStyle w:val="295"/>
              <w:ind w:left="0" w:firstLine="0"/>
              <w:jc w:val="center"/>
              <w:rPr>
                <w:b w:val="0"/>
                <w:color w:val="auto"/>
                <w:sz w:val="21"/>
                <w:szCs w:val="21"/>
              </w:rPr>
            </w:pPr>
            <w:r>
              <w:rPr>
                <w:rFonts w:hint="eastAsia"/>
                <w:b w:val="0"/>
                <w:color w:val="auto"/>
                <w:sz w:val="21"/>
                <w:szCs w:val="21"/>
              </w:rPr>
              <w:t>马鞍山中心</w:t>
            </w:r>
          </w:p>
        </w:tc>
        <w:tc>
          <w:tcPr>
            <w:tcW w:w="2913" w:type="dxa"/>
            <w:vAlign w:val="center"/>
          </w:tcPr>
          <w:p>
            <w:pPr>
              <w:pStyle w:val="295"/>
              <w:ind w:left="0" w:firstLine="0"/>
              <w:jc w:val="center"/>
              <w:rPr>
                <w:b w:val="0"/>
                <w:color w:val="auto"/>
                <w:sz w:val="21"/>
                <w:szCs w:val="21"/>
              </w:rPr>
            </w:pPr>
            <w:r>
              <w:rPr>
                <w:rFonts w:hint="eastAsia"/>
                <w:b w:val="0"/>
                <w:color w:val="auto"/>
                <w:sz w:val="21"/>
                <w:szCs w:val="21"/>
              </w:rPr>
              <w:t>郑蒲港站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2.4</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20</w:t>
            </w:r>
          </w:p>
        </w:tc>
        <w:tc>
          <w:tcPr>
            <w:tcW w:w="1985" w:type="dxa"/>
            <w:vMerge w:val="continue"/>
            <w:vAlign w:val="center"/>
          </w:tcPr>
          <w:p>
            <w:pPr>
              <w:pStyle w:val="295"/>
              <w:ind w:left="0" w:firstLine="0"/>
              <w:jc w:val="center"/>
              <w:rPr>
                <w:b w:val="0"/>
                <w:color w:val="auto"/>
                <w:sz w:val="21"/>
                <w:szCs w:val="21"/>
              </w:rPr>
            </w:pPr>
          </w:p>
        </w:tc>
        <w:tc>
          <w:tcPr>
            <w:tcW w:w="2913" w:type="dxa"/>
            <w:vAlign w:val="center"/>
          </w:tcPr>
          <w:p>
            <w:pPr>
              <w:pStyle w:val="295"/>
              <w:ind w:left="0" w:firstLine="0"/>
              <w:jc w:val="center"/>
              <w:rPr>
                <w:b w:val="0"/>
                <w:color w:val="auto"/>
                <w:sz w:val="21"/>
                <w:szCs w:val="21"/>
              </w:rPr>
            </w:pPr>
            <w:r>
              <w:rPr>
                <w:rFonts w:hint="eastAsia"/>
                <w:b w:val="0"/>
                <w:color w:val="auto"/>
                <w:sz w:val="21"/>
                <w:szCs w:val="21"/>
              </w:rPr>
              <w:t>太白岛站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0.4</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21</w:t>
            </w:r>
          </w:p>
        </w:tc>
        <w:tc>
          <w:tcPr>
            <w:tcW w:w="1985" w:type="dxa"/>
            <w:vMerge w:val="continue"/>
            <w:vAlign w:val="center"/>
          </w:tcPr>
          <w:p>
            <w:pPr>
              <w:pStyle w:val="295"/>
              <w:ind w:left="0" w:firstLine="0"/>
              <w:jc w:val="center"/>
              <w:rPr>
                <w:b w:val="0"/>
                <w:color w:val="auto"/>
                <w:sz w:val="21"/>
                <w:szCs w:val="21"/>
              </w:rPr>
            </w:pPr>
          </w:p>
        </w:tc>
        <w:tc>
          <w:tcPr>
            <w:tcW w:w="2913" w:type="dxa"/>
            <w:vAlign w:val="center"/>
          </w:tcPr>
          <w:p>
            <w:pPr>
              <w:pStyle w:val="295"/>
              <w:ind w:left="0" w:firstLine="0"/>
              <w:jc w:val="center"/>
              <w:rPr>
                <w:b w:val="0"/>
                <w:color w:val="auto"/>
                <w:sz w:val="21"/>
                <w:szCs w:val="21"/>
              </w:rPr>
            </w:pPr>
            <w:r>
              <w:rPr>
                <w:rFonts w:hint="eastAsia"/>
                <w:b w:val="0"/>
                <w:color w:val="auto"/>
                <w:sz w:val="21"/>
                <w:szCs w:val="21"/>
              </w:rPr>
              <w:t>和县西站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1.9</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22</w:t>
            </w:r>
          </w:p>
        </w:tc>
        <w:tc>
          <w:tcPr>
            <w:tcW w:w="1985" w:type="dxa"/>
            <w:vMerge w:val="continue"/>
            <w:vAlign w:val="center"/>
          </w:tcPr>
          <w:p>
            <w:pPr>
              <w:pStyle w:val="295"/>
              <w:ind w:left="0" w:firstLine="0"/>
              <w:jc w:val="center"/>
              <w:rPr>
                <w:b w:val="0"/>
                <w:color w:val="auto"/>
                <w:sz w:val="21"/>
                <w:szCs w:val="21"/>
              </w:rPr>
            </w:pPr>
          </w:p>
        </w:tc>
        <w:tc>
          <w:tcPr>
            <w:tcW w:w="2913" w:type="dxa"/>
            <w:vAlign w:val="center"/>
          </w:tcPr>
          <w:p>
            <w:pPr>
              <w:pStyle w:val="295"/>
              <w:ind w:left="0" w:firstLine="0"/>
              <w:jc w:val="center"/>
              <w:rPr>
                <w:b w:val="0"/>
                <w:color w:val="auto"/>
                <w:sz w:val="21"/>
                <w:szCs w:val="21"/>
              </w:rPr>
            </w:pPr>
            <w:r>
              <w:rPr>
                <w:rFonts w:hint="eastAsia"/>
                <w:b w:val="0"/>
                <w:color w:val="auto"/>
                <w:sz w:val="21"/>
                <w:szCs w:val="21"/>
              </w:rPr>
              <w:t>香泉站</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0.9</w:t>
            </w:r>
          </w:p>
        </w:tc>
        <w:tc>
          <w:tcPr>
            <w:tcW w:w="2010" w:type="dxa"/>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23</w:t>
            </w:r>
          </w:p>
        </w:tc>
        <w:tc>
          <w:tcPr>
            <w:tcW w:w="1985" w:type="dxa"/>
            <w:vMerge w:val="restart"/>
            <w:vAlign w:val="center"/>
          </w:tcPr>
          <w:p>
            <w:pPr>
              <w:pStyle w:val="295"/>
              <w:ind w:left="0" w:firstLine="0"/>
              <w:jc w:val="center"/>
              <w:rPr>
                <w:b w:val="0"/>
                <w:color w:val="auto"/>
                <w:sz w:val="21"/>
                <w:szCs w:val="21"/>
              </w:rPr>
            </w:pPr>
            <w:r>
              <w:rPr>
                <w:rFonts w:hint="eastAsia"/>
                <w:b w:val="0"/>
                <w:color w:val="auto"/>
                <w:sz w:val="21"/>
                <w:szCs w:val="21"/>
              </w:rPr>
              <w:t>养管中心</w:t>
            </w:r>
          </w:p>
        </w:tc>
        <w:tc>
          <w:tcPr>
            <w:tcW w:w="2913" w:type="dxa"/>
            <w:vAlign w:val="center"/>
          </w:tcPr>
          <w:p>
            <w:pPr>
              <w:pStyle w:val="295"/>
              <w:ind w:left="0" w:firstLine="0"/>
              <w:jc w:val="center"/>
              <w:rPr>
                <w:b w:val="0"/>
                <w:color w:val="auto"/>
                <w:sz w:val="21"/>
                <w:szCs w:val="21"/>
              </w:rPr>
            </w:pPr>
            <w:r>
              <w:rPr>
                <w:rFonts w:hint="eastAsia"/>
                <w:b w:val="0"/>
                <w:color w:val="auto"/>
                <w:sz w:val="21"/>
                <w:szCs w:val="21"/>
              </w:rPr>
              <w:t>芜湖养护工区</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0.7</w:t>
            </w:r>
          </w:p>
        </w:tc>
        <w:tc>
          <w:tcPr>
            <w:tcW w:w="2010" w:type="dxa"/>
            <w:vAlign w:val="center"/>
          </w:tcPr>
          <w:p>
            <w:pPr>
              <w:pStyle w:val="295"/>
              <w:ind w:left="0" w:firstLine="0"/>
              <w:jc w:val="center"/>
              <w:rPr>
                <w:bCs/>
                <w:color w:val="auto"/>
                <w:sz w:val="24"/>
                <w:szCs w:val="20"/>
              </w:rPr>
            </w:pPr>
            <w:r>
              <w:rPr>
                <w:rFonts w:hint="eastAsia"/>
                <w:b w:val="0"/>
                <w:color w:val="auto"/>
                <w:sz w:val="21"/>
                <w:szCs w:val="21"/>
              </w:rPr>
              <w:t>污水接入市政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24</w:t>
            </w:r>
          </w:p>
        </w:tc>
        <w:tc>
          <w:tcPr>
            <w:tcW w:w="1985" w:type="dxa"/>
            <w:vMerge w:val="continue"/>
            <w:vAlign w:val="center"/>
          </w:tcPr>
          <w:p>
            <w:pPr>
              <w:pStyle w:val="295"/>
              <w:ind w:left="0" w:firstLine="0"/>
              <w:jc w:val="center"/>
              <w:rPr>
                <w:b w:val="0"/>
                <w:color w:val="auto"/>
                <w:sz w:val="21"/>
                <w:szCs w:val="21"/>
              </w:rPr>
            </w:pPr>
          </w:p>
        </w:tc>
        <w:tc>
          <w:tcPr>
            <w:tcW w:w="2913" w:type="dxa"/>
            <w:vAlign w:val="center"/>
          </w:tcPr>
          <w:p>
            <w:pPr>
              <w:pStyle w:val="295"/>
              <w:ind w:left="0" w:firstLine="0"/>
              <w:jc w:val="center"/>
              <w:rPr>
                <w:b w:val="0"/>
                <w:color w:val="auto"/>
                <w:sz w:val="21"/>
                <w:szCs w:val="21"/>
              </w:rPr>
            </w:pPr>
            <w:r>
              <w:rPr>
                <w:rFonts w:hint="eastAsia"/>
                <w:b w:val="0"/>
                <w:color w:val="auto"/>
                <w:sz w:val="21"/>
                <w:szCs w:val="21"/>
              </w:rPr>
              <w:t>大顾店工区（养管中心）</w:t>
            </w:r>
          </w:p>
        </w:tc>
        <w:tc>
          <w:tcPr>
            <w:tcW w:w="2009" w:type="dxa"/>
            <w:vAlign w:val="center"/>
          </w:tcPr>
          <w:p>
            <w:pPr>
              <w:pStyle w:val="295"/>
              <w:ind w:left="0" w:firstLine="0"/>
              <w:jc w:val="center"/>
              <w:rPr>
                <w:b w:val="0"/>
                <w:color w:val="auto"/>
                <w:sz w:val="21"/>
                <w:szCs w:val="21"/>
              </w:rPr>
            </w:pPr>
            <w:r>
              <w:rPr>
                <w:rFonts w:hint="eastAsia"/>
                <w:b w:val="0"/>
                <w:color w:val="auto"/>
                <w:sz w:val="21"/>
                <w:szCs w:val="21"/>
              </w:rPr>
              <w:t>1</w:t>
            </w:r>
          </w:p>
        </w:tc>
        <w:tc>
          <w:tcPr>
            <w:tcW w:w="2010" w:type="dxa"/>
            <w:vAlign w:val="center"/>
          </w:tcPr>
          <w:p>
            <w:pPr>
              <w:pStyle w:val="295"/>
              <w:spacing w:line="240" w:lineRule="auto"/>
              <w:ind w:left="0" w:firstLine="0"/>
              <w:jc w:val="center"/>
              <w:rPr>
                <w:bCs/>
                <w:color w:val="auto"/>
                <w:sz w:val="24"/>
                <w:szCs w:val="20"/>
              </w:rPr>
            </w:pPr>
            <w:r>
              <w:rPr>
                <w:rFonts w:hint="eastAsia"/>
                <w:b w:val="0"/>
                <w:color w:val="auto"/>
                <w:sz w:val="21"/>
                <w:szCs w:val="21"/>
              </w:rPr>
              <w:t>已在六安北管理处中计列</w:t>
            </w:r>
          </w:p>
        </w:tc>
      </w:tr>
    </w:tbl>
    <w:p>
      <w:pPr>
        <w:pStyle w:val="295"/>
        <w:ind w:left="0" w:firstLine="482" w:firstLineChars="200"/>
        <w:jc w:val="center"/>
        <w:outlineLvl w:val="9"/>
        <w:rPr>
          <w:bCs/>
          <w:color w:val="auto"/>
          <w:sz w:val="24"/>
          <w:szCs w:val="20"/>
        </w:rPr>
      </w:pPr>
      <w:r>
        <w:rPr>
          <w:rFonts w:hint="eastAsia"/>
          <w:bCs/>
          <w:color w:val="auto"/>
          <w:sz w:val="24"/>
          <w:szCs w:val="20"/>
        </w:rPr>
        <w:t>53个收费站及园区污水改造统计表</w:t>
      </w:r>
    </w:p>
    <w:tbl>
      <w:tblPr>
        <w:tblStyle w:val="4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29"/>
        <w:gridCol w:w="1985"/>
        <w:gridCol w:w="3260"/>
        <w:gridCol w:w="1662"/>
        <w:gridCol w:w="20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spacing w:line="360" w:lineRule="auto"/>
              <w:jc w:val="center"/>
              <w:rPr>
                <w:bCs/>
                <w:color w:val="auto"/>
                <w:sz w:val="24"/>
              </w:rPr>
            </w:pPr>
            <w:r>
              <w:rPr>
                <w:rFonts w:hint="eastAsia" w:eastAsia="仿宋_GB2312"/>
                <w:b/>
                <w:bCs/>
                <w:color w:val="auto"/>
                <w:szCs w:val="21"/>
              </w:rPr>
              <w:t>序号</w:t>
            </w:r>
          </w:p>
        </w:tc>
        <w:tc>
          <w:tcPr>
            <w:tcW w:w="1985" w:type="dxa"/>
            <w:vAlign w:val="center"/>
          </w:tcPr>
          <w:p>
            <w:pPr>
              <w:spacing w:line="360" w:lineRule="auto"/>
              <w:jc w:val="center"/>
              <w:rPr>
                <w:bCs/>
                <w:color w:val="auto"/>
                <w:sz w:val="24"/>
              </w:rPr>
            </w:pPr>
            <w:r>
              <w:rPr>
                <w:rFonts w:hint="eastAsia" w:eastAsia="仿宋_GB2312"/>
                <w:b/>
                <w:bCs/>
                <w:color w:val="auto"/>
                <w:szCs w:val="21"/>
              </w:rPr>
              <w:t>管理处</w:t>
            </w:r>
          </w:p>
        </w:tc>
        <w:tc>
          <w:tcPr>
            <w:tcW w:w="3260" w:type="dxa"/>
            <w:vAlign w:val="center"/>
          </w:tcPr>
          <w:p>
            <w:pPr>
              <w:pStyle w:val="295"/>
              <w:ind w:left="0" w:firstLine="0"/>
              <w:jc w:val="center"/>
              <w:rPr>
                <w:bCs/>
                <w:color w:val="auto"/>
                <w:sz w:val="24"/>
                <w:szCs w:val="20"/>
              </w:rPr>
            </w:pPr>
            <w:r>
              <w:rPr>
                <w:rFonts w:hint="eastAsia"/>
                <w:bCs/>
                <w:color w:val="auto"/>
                <w:sz w:val="21"/>
                <w:szCs w:val="21"/>
              </w:rPr>
              <w:t>收费站</w:t>
            </w:r>
          </w:p>
        </w:tc>
        <w:tc>
          <w:tcPr>
            <w:tcW w:w="1662" w:type="dxa"/>
            <w:vAlign w:val="center"/>
          </w:tcPr>
          <w:p>
            <w:pPr>
              <w:pStyle w:val="295"/>
              <w:ind w:left="0" w:firstLine="0"/>
              <w:jc w:val="center"/>
              <w:rPr>
                <w:bCs/>
                <w:color w:val="auto"/>
                <w:sz w:val="21"/>
                <w:szCs w:val="21"/>
              </w:rPr>
            </w:pPr>
            <w:r>
              <w:rPr>
                <w:rFonts w:hint="eastAsia"/>
                <w:bCs/>
                <w:color w:val="auto"/>
                <w:sz w:val="21"/>
                <w:szCs w:val="21"/>
              </w:rPr>
              <w:t>新建设备规模</w:t>
            </w:r>
          </w:p>
        </w:tc>
        <w:tc>
          <w:tcPr>
            <w:tcW w:w="2010" w:type="dxa"/>
            <w:vAlign w:val="center"/>
          </w:tcPr>
          <w:p>
            <w:pPr>
              <w:pStyle w:val="295"/>
              <w:ind w:left="0" w:firstLine="0"/>
              <w:jc w:val="center"/>
              <w:rPr>
                <w:bCs/>
                <w:color w:val="auto"/>
                <w:sz w:val="21"/>
                <w:szCs w:val="21"/>
              </w:rPr>
            </w:pPr>
            <w:r>
              <w:rPr>
                <w:rFonts w:hint="eastAsia"/>
                <w:bCs/>
                <w:color w:val="auto"/>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蚌埠处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处机关及蚌埠收费站</w:t>
            </w:r>
          </w:p>
        </w:tc>
        <w:tc>
          <w:tcPr>
            <w:tcW w:w="1662" w:type="dxa"/>
            <w:vAlign w:val="center"/>
          </w:tcPr>
          <w:p>
            <w:pPr>
              <w:pStyle w:val="295"/>
              <w:ind w:left="0" w:firstLine="0"/>
              <w:jc w:val="center"/>
              <w:rPr>
                <w:b w:val="0"/>
                <w:color w:val="auto"/>
                <w:sz w:val="24"/>
                <w:szCs w:val="20"/>
              </w:rPr>
            </w:pPr>
            <w:r>
              <w:rPr>
                <w:b w:val="0"/>
                <w:color w:val="auto"/>
                <w:sz w:val="21"/>
                <w:szCs w:val="21"/>
              </w:rPr>
              <w:t>50t/d</w:t>
            </w:r>
          </w:p>
        </w:tc>
        <w:tc>
          <w:tcPr>
            <w:tcW w:w="2010" w:type="dxa"/>
            <w:vAlign w:val="center"/>
          </w:tcPr>
          <w:p>
            <w:pPr>
              <w:pStyle w:val="295"/>
              <w:ind w:left="0" w:firstLine="0"/>
              <w:jc w:val="center"/>
              <w:rPr>
                <w:bCs/>
                <w:color w:val="auto"/>
                <w:sz w:val="24"/>
                <w:szCs w:val="20"/>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双庙收费站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Cs/>
                <w:color w:val="auto"/>
                <w:sz w:val="24"/>
                <w:szCs w:val="20"/>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梁园收费站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永康收费站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5</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九梓收费站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蚌埠西收费站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7</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池州中心</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铜陵东收费站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东流收费站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9</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铜陵东养护工区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0</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Theme="minorEastAsia"/>
                <w:color w:val="auto"/>
                <w:szCs w:val="21"/>
              </w:rPr>
            </w:pPr>
            <w:r>
              <w:rPr>
                <w:rFonts w:hint="eastAsia" w:eastAsia="仿宋_GB2312"/>
                <w:color w:val="auto"/>
                <w:szCs w:val="21"/>
              </w:rPr>
              <w:t>东流分中心</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已在东流收费站中计列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1</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滁州处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吴庄收费站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大墅养护工区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3</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阜阳处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颍上收费站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4</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颍淮大道收费站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5</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阜南收费站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临泉收费站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7</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高界处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天柱山收费站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车轴寺收费站</w:t>
            </w:r>
          </w:p>
        </w:tc>
        <w:tc>
          <w:tcPr>
            <w:tcW w:w="1662" w:type="dxa"/>
            <w:vAlign w:val="center"/>
          </w:tcPr>
          <w:p>
            <w:pPr>
              <w:pStyle w:val="295"/>
              <w:ind w:left="0" w:firstLine="0"/>
              <w:jc w:val="center"/>
              <w:rPr>
                <w:b w:val="0"/>
                <w:color w:val="auto"/>
                <w:sz w:val="21"/>
                <w:szCs w:val="21"/>
              </w:rPr>
            </w:pPr>
            <w:r>
              <w:rPr>
                <w:b w:val="0"/>
                <w:color w:val="auto"/>
                <w:sz w:val="21"/>
                <w:szCs w:val="21"/>
              </w:rPr>
              <w:t>50t/d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1</w:t>
            </w:r>
            <w:r>
              <w:rPr>
                <w:bCs/>
                <w:color w:val="auto"/>
                <w:sz w:val="21"/>
                <w:szCs w:val="21"/>
              </w:rPr>
              <w:t>9</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太湖收费站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0</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合安处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安庆收费站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bCs/>
                <w:color w:val="auto"/>
                <w:sz w:val="21"/>
                <w:szCs w:val="21"/>
              </w:rPr>
              <w:t>21</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淮南处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寿县收费站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安丰塘收费站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3</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凤台北收费站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4</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黄山中心</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汤口站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5</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界阜蚌公司</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利辛东收费站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怀远西收费站（养护工区）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7</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六安北</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三觉收费站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叶集收费站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2</w:t>
            </w:r>
            <w:r>
              <w:rPr>
                <w:bCs/>
                <w:color w:val="auto"/>
                <w:sz w:val="21"/>
                <w:szCs w:val="21"/>
              </w:rPr>
              <w:t>9</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丁埠收费站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0</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古碑收费站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1</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庐江公司</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庐江管理公司</w:t>
            </w:r>
          </w:p>
        </w:tc>
        <w:tc>
          <w:tcPr>
            <w:tcW w:w="1662" w:type="dxa"/>
            <w:vAlign w:val="center"/>
          </w:tcPr>
          <w:p>
            <w:pPr>
              <w:pStyle w:val="295"/>
              <w:ind w:left="0" w:firstLine="0"/>
              <w:jc w:val="center"/>
              <w:rPr>
                <w:b w:val="0"/>
                <w:color w:val="auto"/>
                <w:sz w:val="21"/>
                <w:szCs w:val="21"/>
              </w:rPr>
            </w:pPr>
            <w:r>
              <w:rPr>
                <w:b w:val="0"/>
                <w:color w:val="auto"/>
                <w:sz w:val="21"/>
                <w:szCs w:val="21"/>
              </w:rPr>
              <w:t>50t/d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浮山收费站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3</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花园收费站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4</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宁国处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胡乐站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5</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宿州中心</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宿州南收费站、宿州南养护工区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亳州养护工区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7</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天长处</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天长管理处园区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宁淮收费站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已在天长管理处园区中计列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3</w:t>
            </w:r>
            <w:r>
              <w:rPr>
                <w:bCs/>
                <w:color w:val="auto"/>
                <w:sz w:val="21"/>
                <w:szCs w:val="21"/>
              </w:rPr>
              <w:t>9</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芜湖中心</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峨桥收费站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0</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南陵东</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1</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珩琅山</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水阳</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3</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芜湖南</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4</w:t>
            </w:r>
          </w:p>
        </w:tc>
        <w:tc>
          <w:tcPr>
            <w:tcW w:w="1985" w:type="dxa"/>
            <w:vAlign w:val="center"/>
          </w:tcPr>
          <w:p>
            <w:pPr>
              <w:spacing w:line="360" w:lineRule="auto"/>
              <w:jc w:val="center"/>
              <w:rPr>
                <w:rFonts w:eastAsia="仿宋_GB2312"/>
                <w:color w:val="auto"/>
                <w:szCs w:val="21"/>
              </w:rPr>
            </w:pPr>
            <w:r>
              <w:rPr>
                <w:rFonts w:hint="eastAsia" w:eastAsia="仿宋_GB2312"/>
                <w:color w:val="auto"/>
                <w:szCs w:val="21"/>
              </w:rPr>
              <w:t>徐明公司</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渔沟收费站</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5</w:t>
            </w:r>
          </w:p>
        </w:tc>
        <w:tc>
          <w:tcPr>
            <w:tcW w:w="1985" w:type="dxa"/>
            <w:vMerge w:val="restart"/>
            <w:vAlign w:val="center"/>
          </w:tcPr>
          <w:p>
            <w:pPr>
              <w:spacing w:line="360" w:lineRule="auto"/>
              <w:jc w:val="center"/>
              <w:rPr>
                <w:rFonts w:eastAsia="仿宋_GB2312"/>
                <w:color w:val="auto"/>
                <w:szCs w:val="21"/>
              </w:rPr>
            </w:pPr>
            <w:r>
              <w:rPr>
                <w:rFonts w:hint="eastAsia" w:eastAsia="仿宋_GB2312"/>
                <w:color w:val="auto"/>
                <w:szCs w:val="21"/>
              </w:rPr>
              <w:t>养管中心</w:t>
            </w: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九梓办公区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6</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六安分中心园区（养管中心）</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7</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jc w:val="center"/>
              <w:rPr>
                <w:rFonts w:eastAsia="仿宋_GB2312"/>
                <w:color w:val="auto"/>
                <w:szCs w:val="21"/>
              </w:rPr>
            </w:pPr>
            <w:r>
              <w:rPr>
                <w:rFonts w:hint="eastAsia" w:eastAsia="仿宋_GB2312"/>
                <w:color w:val="auto"/>
                <w:szCs w:val="21"/>
              </w:rPr>
              <w:t>亳州分中心园区（养管中心）</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已在利辛东收费站中计列</w:t>
            </w:r>
          </w:p>
          <w:p>
            <w:pPr>
              <w:pStyle w:val="295"/>
              <w:ind w:left="0" w:firstLine="0"/>
              <w:jc w:val="center"/>
              <w:rPr>
                <w:b w:val="0"/>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4</w:t>
            </w:r>
            <w:r>
              <w:rPr>
                <w:bCs/>
                <w:color w:val="auto"/>
                <w:sz w:val="21"/>
                <w:szCs w:val="21"/>
              </w:rPr>
              <w:t>8</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阜阳南工区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bCs/>
                <w:color w:val="auto"/>
                <w:sz w:val="21"/>
                <w:szCs w:val="21"/>
              </w:rPr>
              <w:t>49</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宿州南工区</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已在宿州南收费站中计列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bCs/>
                <w:color w:val="auto"/>
                <w:sz w:val="21"/>
                <w:szCs w:val="21"/>
              </w:rPr>
              <w:t>50</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安庆分中心园区（怀宁收费站）</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已在怀宁收费站中计列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5</w:t>
            </w:r>
            <w:r>
              <w:rPr>
                <w:bCs/>
                <w:color w:val="auto"/>
                <w:sz w:val="21"/>
                <w:szCs w:val="21"/>
              </w:rPr>
              <w:t>1</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黄山养护分中心</w:t>
            </w:r>
          </w:p>
        </w:tc>
        <w:tc>
          <w:tcPr>
            <w:tcW w:w="1662" w:type="dxa"/>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ind w:left="0" w:firstLine="0"/>
              <w:jc w:val="center"/>
              <w:rPr>
                <w:b w:val="0"/>
                <w:color w:val="auto"/>
                <w:sz w:val="21"/>
                <w:szCs w:val="21"/>
              </w:rPr>
            </w:pPr>
            <w:r>
              <w:rPr>
                <w:rFonts w:hint="eastAsia"/>
                <w:b w:val="0"/>
                <w:color w:val="auto"/>
                <w:sz w:val="21"/>
                <w:szCs w:val="21"/>
              </w:rPr>
              <w:t>新建污水设备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5</w:t>
            </w:r>
            <w:r>
              <w:rPr>
                <w:bCs/>
                <w:color w:val="auto"/>
                <w:sz w:val="21"/>
                <w:szCs w:val="21"/>
              </w:rPr>
              <w:t>2</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仁和集工区</w:t>
            </w:r>
          </w:p>
        </w:tc>
        <w:tc>
          <w:tcPr>
            <w:tcW w:w="1662" w:type="dxa"/>
            <w:vAlign w:val="center"/>
          </w:tcPr>
          <w:p>
            <w:pPr>
              <w:pStyle w:val="295"/>
              <w:ind w:left="0" w:firstLine="0"/>
              <w:jc w:val="center"/>
              <w:rPr>
                <w:b w:val="0"/>
                <w:color w:val="auto"/>
                <w:sz w:val="21"/>
                <w:szCs w:val="21"/>
              </w:rPr>
            </w:pPr>
            <w:r>
              <w:rPr>
                <w:b w:val="0"/>
                <w:color w:val="auto"/>
                <w:sz w:val="21"/>
                <w:szCs w:val="21"/>
              </w:rPr>
              <w:t>50t/d</w:t>
            </w:r>
          </w:p>
        </w:tc>
        <w:tc>
          <w:tcPr>
            <w:tcW w:w="2010" w:type="dxa"/>
            <w:vAlign w:val="center"/>
          </w:tcPr>
          <w:p>
            <w:pPr>
              <w:pStyle w:val="295"/>
              <w:spacing w:line="240" w:lineRule="auto"/>
              <w:ind w:left="0" w:firstLine="0"/>
              <w:jc w:val="center"/>
              <w:rPr>
                <w:b w:val="0"/>
                <w:color w:val="auto"/>
                <w:sz w:val="21"/>
                <w:szCs w:val="21"/>
              </w:rPr>
            </w:pPr>
            <w:r>
              <w:rPr>
                <w:rFonts w:hint="eastAsia"/>
                <w:b w:val="0"/>
                <w:color w:val="auto"/>
                <w:sz w:val="21"/>
                <w:szCs w:val="21"/>
              </w:rPr>
              <w:t>已在蚌埠管理处中计列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129" w:type="dxa"/>
            <w:vAlign w:val="center"/>
          </w:tcPr>
          <w:p>
            <w:pPr>
              <w:pStyle w:val="295"/>
              <w:ind w:left="0" w:firstLine="0"/>
              <w:jc w:val="center"/>
              <w:rPr>
                <w:bCs/>
                <w:color w:val="auto"/>
                <w:sz w:val="21"/>
                <w:szCs w:val="21"/>
              </w:rPr>
            </w:pPr>
            <w:r>
              <w:rPr>
                <w:rFonts w:hint="eastAsia"/>
                <w:bCs/>
                <w:color w:val="auto"/>
                <w:sz w:val="21"/>
                <w:szCs w:val="21"/>
              </w:rPr>
              <w:t>5</w:t>
            </w:r>
            <w:r>
              <w:rPr>
                <w:bCs/>
                <w:color w:val="auto"/>
                <w:sz w:val="21"/>
                <w:szCs w:val="21"/>
              </w:rPr>
              <w:t>3</w:t>
            </w:r>
          </w:p>
        </w:tc>
        <w:tc>
          <w:tcPr>
            <w:tcW w:w="1985" w:type="dxa"/>
            <w:vMerge w:val="continue"/>
            <w:vAlign w:val="center"/>
          </w:tcPr>
          <w:p>
            <w:pPr>
              <w:spacing w:line="360" w:lineRule="auto"/>
              <w:jc w:val="center"/>
              <w:rPr>
                <w:rFonts w:eastAsia="仿宋_GB2312"/>
                <w:color w:val="auto"/>
                <w:szCs w:val="21"/>
              </w:rPr>
            </w:pPr>
          </w:p>
        </w:tc>
        <w:tc>
          <w:tcPr>
            <w:tcW w:w="3260" w:type="dxa"/>
            <w:vAlign w:val="center"/>
          </w:tcPr>
          <w:p>
            <w:pPr>
              <w:spacing w:line="360" w:lineRule="auto"/>
              <w:jc w:val="center"/>
              <w:rPr>
                <w:rFonts w:eastAsia="仿宋_GB2312"/>
                <w:color w:val="auto"/>
                <w:szCs w:val="21"/>
              </w:rPr>
            </w:pPr>
            <w:r>
              <w:rPr>
                <w:rFonts w:hint="eastAsia" w:eastAsia="仿宋_GB2312"/>
                <w:color w:val="auto"/>
                <w:szCs w:val="21"/>
              </w:rPr>
              <w:t>安庆分中心园区养护工区（养管中心）</w:t>
            </w:r>
          </w:p>
        </w:tc>
        <w:tc>
          <w:tcPr>
            <w:tcW w:w="1662" w:type="dxa"/>
            <w:vAlign w:val="center"/>
          </w:tcPr>
          <w:p>
            <w:pPr>
              <w:pStyle w:val="295"/>
              <w:ind w:left="0" w:firstLine="0"/>
              <w:jc w:val="center"/>
              <w:rPr>
                <w:b w:val="0"/>
                <w:color w:val="auto"/>
                <w:sz w:val="21"/>
                <w:szCs w:val="21"/>
              </w:rPr>
            </w:pPr>
            <w:r>
              <w:rPr>
                <w:rFonts w:hint="eastAsia"/>
                <w:b w:val="0"/>
                <w:color w:val="auto"/>
                <w:sz w:val="21"/>
                <w:szCs w:val="21"/>
              </w:rPr>
              <w:t>2</w:t>
            </w:r>
            <w:r>
              <w:rPr>
                <w:b w:val="0"/>
                <w:color w:val="auto"/>
                <w:sz w:val="21"/>
                <w:szCs w:val="21"/>
              </w:rPr>
              <w:t>0t/d</w:t>
            </w:r>
          </w:p>
        </w:tc>
        <w:tc>
          <w:tcPr>
            <w:tcW w:w="2010" w:type="dxa"/>
            <w:vAlign w:val="center"/>
          </w:tcPr>
          <w:p>
            <w:pPr>
              <w:pStyle w:val="295"/>
              <w:ind w:left="0" w:firstLine="0"/>
              <w:jc w:val="center"/>
              <w:rPr>
                <w:b w:val="0"/>
                <w:color w:val="auto"/>
                <w:sz w:val="21"/>
                <w:szCs w:val="21"/>
              </w:rPr>
            </w:pPr>
            <w:r>
              <w:rPr>
                <w:rFonts w:hint="eastAsia"/>
                <w:b w:val="0"/>
                <w:color w:val="auto"/>
                <w:sz w:val="21"/>
                <w:szCs w:val="21"/>
              </w:rPr>
              <w:t>新建污水设备</w:t>
            </w:r>
          </w:p>
        </w:tc>
      </w:tr>
    </w:tbl>
    <w:p>
      <w:pPr>
        <w:pStyle w:val="295"/>
        <w:rPr>
          <w:color w:val="auto"/>
        </w:rPr>
      </w:pPr>
      <w:r>
        <w:rPr>
          <w:color w:val="auto"/>
        </w:rPr>
        <w:t>1.4 编制依据</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（1）《室外排水设计标准》（GB50014-2021）；</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（2）《给水排水管道工程施工及验收规范》（GB50268-2008）；</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（3）《给水排水工程管道结构设计规范》（GB50332-2002）；</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（4）《给水排水工程构筑物结构设计规范》（GB50069-2002）；</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（5）《给水用聚乙烯（PE）管道系统》（GB/T 13663.3-2018）</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（6）《城市工程管线综合规划规范》（GB50289-2016）；</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（7）《城镇给水排水技术规范》（GB50788-2012）；</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（8）《埋地排水用钢带增强聚乙烯螺旋波纹管管道工程技术规程CECS223:2007》）；</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（9）《室外给水排水和燃气热力工程抗震设计规范》（GB50032-2003）；</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（10）《给水排水构筑物工程施工及验收规范》（GB50141-2008）；</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（11）《小型潜水排污泵选用及安装》（08S305）；</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（12）《给排水设计手册（第五册）城镇排水》（第三版）；</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（13）《市政排水管道工程及附属设施》(06MS201)</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（14）《市政给水管道工程级附属设施》（07MS101）</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（15）《污水排入城镇下水道水质标准》（GB/T 31962-2015）</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（16）《混凝土结构设计规范》（GB50010-2010）</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（17）《管道支吊架》（GB/T17116）</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（18）《潜水排污泵》（CJ/T 472-2015）</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（19）《水平定向钻法管道穿越工程技术规程》（CECS 382-2014）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（20）其它现行法规、规范、标准等。</w:t>
      </w:r>
    </w:p>
    <w:p>
      <w:pPr>
        <w:pStyle w:val="295"/>
        <w:rPr>
          <w:color w:val="auto"/>
        </w:rPr>
      </w:pPr>
      <w:r>
        <w:rPr>
          <w:color w:val="auto"/>
        </w:rPr>
        <w:t>1.5 工程设计原则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本工程排水管道的主要技术标准与各地区排水工程专项规划的技术标准一致；排水管道设计符合国家相关的规范、法规和标准。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（1）排水体制：采用雨、污水分流制。</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w:t>
      </w:r>
      <w:r>
        <w:rPr>
          <w:rFonts w:hint="eastAsia" w:eastAsia="仿宋_GB2312"/>
          <w:color w:val="auto"/>
          <w:sz w:val="24"/>
        </w:rPr>
        <w:t>收费站及园区</w:t>
      </w:r>
      <w:r>
        <w:rPr>
          <w:rFonts w:eastAsia="仿宋_GB2312"/>
          <w:color w:val="auto"/>
          <w:sz w:val="24"/>
        </w:rPr>
        <w:t>排水出路：</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雨水：排水出路采用就近排放与远期规划实施统筹考虑，雨水最终通过重力自流式排入高速边沟、附近沟塘和其他联通水系。</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污水：排水出路采用</w:t>
      </w:r>
      <w:r>
        <w:rPr>
          <w:rFonts w:hint="eastAsia" w:eastAsia="仿宋_GB2312"/>
          <w:color w:val="auto"/>
          <w:sz w:val="24"/>
        </w:rPr>
        <w:t>现场踏勘及对接的推荐</w:t>
      </w:r>
      <w:r>
        <w:rPr>
          <w:rFonts w:eastAsia="仿宋_GB2312"/>
          <w:color w:val="auto"/>
          <w:sz w:val="24"/>
        </w:rPr>
        <w:t>路由</w:t>
      </w:r>
      <w:r>
        <w:rPr>
          <w:rFonts w:hint="eastAsia" w:eastAsia="仿宋_GB2312"/>
          <w:color w:val="auto"/>
          <w:sz w:val="24"/>
        </w:rPr>
        <w:t>（最终还需取得相关批复及接入许可）</w:t>
      </w:r>
      <w:r>
        <w:rPr>
          <w:rFonts w:eastAsia="仿宋_GB2312"/>
          <w:color w:val="auto"/>
          <w:sz w:val="24"/>
        </w:rPr>
        <w:t>，以压力流的方式接驳至就近的市政（城镇）污水管网，每个</w:t>
      </w:r>
      <w:r>
        <w:rPr>
          <w:rFonts w:hint="eastAsia" w:eastAsia="仿宋_GB2312"/>
          <w:color w:val="auto"/>
          <w:sz w:val="24"/>
        </w:rPr>
        <w:t>收费站及园区</w:t>
      </w:r>
      <w:r>
        <w:rPr>
          <w:rFonts w:eastAsia="仿宋_GB2312"/>
          <w:color w:val="auto"/>
          <w:sz w:val="24"/>
        </w:rPr>
        <w:t>一点一策。</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（3）汇水和服务范围：</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雨水汇水范围：</w:t>
      </w:r>
      <w:r>
        <w:rPr>
          <w:rFonts w:hint="eastAsia" w:eastAsia="仿宋_GB2312"/>
          <w:color w:val="auto"/>
          <w:sz w:val="24"/>
        </w:rPr>
        <w:t>收费站及园区</w:t>
      </w:r>
      <w:r>
        <w:rPr>
          <w:rFonts w:eastAsia="仿宋_GB2312"/>
          <w:color w:val="auto"/>
          <w:sz w:val="24"/>
        </w:rPr>
        <w:t>汇水面积范围内道路、广场和建设用地地块排水，综合考虑</w:t>
      </w:r>
      <w:r>
        <w:rPr>
          <w:rFonts w:hint="eastAsia" w:eastAsia="仿宋_GB2312"/>
          <w:color w:val="auto"/>
          <w:sz w:val="24"/>
        </w:rPr>
        <w:t>收费站及园区</w:t>
      </w:r>
      <w:r>
        <w:rPr>
          <w:rFonts w:eastAsia="仿宋_GB2312"/>
          <w:color w:val="auto"/>
          <w:sz w:val="24"/>
        </w:rPr>
        <w:t>外“客水”排放。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污水服务范围：</w:t>
      </w:r>
      <w:r>
        <w:rPr>
          <w:rFonts w:hint="eastAsia" w:eastAsia="仿宋_GB2312"/>
          <w:color w:val="auto"/>
          <w:sz w:val="24"/>
        </w:rPr>
        <w:t>收费站及园区</w:t>
      </w:r>
      <w:r>
        <w:rPr>
          <w:rFonts w:eastAsia="仿宋_GB2312"/>
          <w:color w:val="auto"/>
          <w:sz w:val="24"/>
        </w:rPr>
        <w:t>范围内餐饮、卫生间、办公居住房屋建筑内产生的生活污水。</w:t>
      </w:r>
    </w:p>
    <w:p>
      <w:pPr>
        <w:pStyle w:val="295"/>
        <w:rPr>
          <w:color w:val="auto"/>
        </w:rPr>
      </w:pPr>
      <w:r>
        <w:rPr>
          <w:color w:val="auto"/>
        </w:rPr>
        <w:t>1.6 工程设计标准</w:t>
      </w:r>
    </w:p>
    <w:p>
      <w:pPr>
        <w:pStyle w:val="295"/>
        <w:rPr>
          <w:color w:val="auto"/>
        </w:rPr>
      </w:pPr>
      <w:r>
        <w:rPr>
          <w:color w:val="auto"/>
        </w:rPr>
        <w:t>1.7 前期工程意见的执行情况</w:t>
      </w:r>
    </w:p>
    <w:p>
      <w:pPr>
        <w:pStyle w:val="294"/>
        <w:rPr>
          <w:rFonts w:cs="Times New Roman"/>
          <w:color w:val="auto"/>
        </w:rPr>
      </w:pPr>
      <w:r>
        <w:rPr>
          <w:rFonts w:cs="Times New Roman"/>
          <w:color w:val="auto"/>
        </w:rPr>
        <w:t xml:space="preserve">2 </w:t>
      </w:r>
      <w:r>
        <w:rPr>
          <w:rFonts w:hint="eastAsia" w:cs="Times New Roman"/>
          <w:color w:val="auto"/>
        </w:rPr>
        <w:t>收费站及园区</w:t>
      </w:r>
      <w:r>
        <w:rPr>
          <w:rFonts w:cs="Times New Roman"/>
          <w:color w:val="auto"/>
        </w:rPr>
        <w:t>污水接入市政（城镇）管网工程方案</w:t>
      </w:r>
    </w:p>
    <w:p>
      <w:pPr>
        <w:pStyle w:val="295"/>
        <w:rPr>
          <w:color w:val="auto"/>
        </w:rPr>
      </w:pPr>
      <w:r>
        <w:rPr>
          <w:color w:val="auto"/>
        </w:rPr>
        <w:t xml:space="preserve">2.1 </w:t>
      </w:r>
      <w:r>
        <w:rPr>
          <w:rFonts w:hint="eastAsia"/>
          <w:color w:val="auto"/>
        </w:rPr>
        <w:t>合安管理处</w:t>
      </w:r>
      <w:r>
        <w:rPr>
          <w:color w:val="auto"/>
        </w:rPr>
        <w:t>——</w:t>
      </w:r>
      <w:r>
        <w:rPr>
          <w:rFonts w:hint="eastAsia"/>
          <w:color w:val="auto"/>
        </w:rPr>
        <w:t>安庆北收费站</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2.1.1 污水方案概况</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2.1.2 沿线现状调查</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w:t>
      </w:r>
      <w:r>
        <w:rPr>
          <w:rFonts w:hint="eastAsia" w:eastAsia="仿宋_GB2312"/>
          <w:b/>
          <w:bCs/>
          <w:color w:val="auto"/>
          <w:sz w:val="24"/>
        </w:rPr>
        <w:t>园区</w:t>
      </w:r>
      <w:r>
        <w:rPr>
          <w:rFonts w:eastAsia="仿宋_GB2312"/>
          <w:b/>
          <w:bCs/>
          <w:color w:val="auto"/>
          <w:sz w:val="24"/>
        </w:rPr>
        <w:t>内部排水系统调查</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（2）沿线路由</w:t>
      </w:r>
      <w:r>
        <w:rPr>
          <w:rFonts w:hint="eastAsia" w:eastAsia="仿宋_GB2312"/>
          <w:b/>
          <w:bCs/>
          <w:color w:val="auto"/>
          <w:sz w:val="24"/>
        </w:rPr>
        <w:t>及市政（城镇）排水系统接驳点</w:t>
      </w:r>
      <w:r>
        <w:rPr>
          <w:rFonts w:eastAsia="仿宋_GB2312"/>
          <w:b/>
          <w:bCs/>
          <w:color w:val="auto"/>
          <w:sz w:val="24"/>
        </w:rPr>
        <w:t>调查</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2.1.3 设计方案</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（1）污水系统设计</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（2）泵站设计</w:t>
      </w:r>
      <w:r>
        <w:rPr>
          <w:rFonts w:hint="eastAsia" w:eastAsia="仿宋_GB2312"/>
          <w:b/>
          <w:bCs/>
          <w:color w:val="auto"/>
          <w:sz w:val="24"/>
        </w:rPr>
        <w:t xml:space="preserve">              </w:t>
      </w:r>
    </w:p>
    <w:p>
      <w:pPr>
        <w:pStyle w:val="295"/>
        <w:rPr>
          <w:color w:val="auto"/>
        </w:rPr>
      </w:pPr>
      <w:r>
        <w:rPr>
          <w:color w:val="auto"/>
        </w:rPr>
        <w:t>2.</w:t>
      </w:r>
      <w:r>
        <w:rPr>
          <w:rFonts w:hint="eastAsia"/>
          <w:color w:val="auto"/>
        </w:rPr>
        <w:t>2</w:t>
      </w:r>
      <w:r>
        <w:rPr>
          <w:color w:val="auto"/>
        </w:rPr>
        <w:t xml:space="preserve"> </w:t>
      </w:r>
      <w:r>
        <w:rPr>
          <w:rFonts w:hint="eastAsia"/>
          <w:color w:val="auto"/>
        </w:rPr>
        <w:t>合巢芜管理处</w:t>
      </w:r>
      <w:r>
        <w:rPr>
          <w:color w:val="auto"/>
        </w:rPr>
        <w:t>——</w:t>
      </w:r>
      <w:r>
        <w:rPr>
          <w:rFonts w:hint="eastAsia"/>
          <w:color w:val="auto"/>
        </w:rPr>
        <w:t>芜湖北收费站</w:t>
      </w:r>
    </w:p>
    <w:p>
      <w:pPr>
        <w:pStyle w:val="295"/>
        <w:rPr>
          <w:color w:val="auto"/>
        </w:rPr>
      </w:pPr>
      <w:r>
        <w:rPr>
          <w:color w:val="auto"/>
        </w:rPr>
        <w:t>2.</w:t>
      </w:r>
      <w:r>
        <w:rPr>
          <w:rFonts w:hint="eastAsia"/>
          <w:color w:val="auto"/>
        </w:rPr>
        <w:t>3</w:t>
      </w:r>
      <w:r>
        <w:rPr>
          <w:color w:val="auto"/>
        </w:rPr>
        <w:t xml:space="preserve"> </w:t>
      </w:r>
      <w:r>
        <w:rPr>
          <w:rFonts w:hint="eastAsia"/>
          <w:color w:val="auto"/>
        </w:rPr>
        <w:t>合肥管理处</w:t>
      </w:r>
      <w:r>
        <w:rPr>
          <w:color w:val="auto"/>
        </w:rPr>
        <w:t>——</w:t>
      </w:r>
      <w:r>
        <w:rPr>
          <w:rFonts w:hint="eastAsia"/>
          <w:color w:val="auto"/>
        </w:rPr>
        <w:t>龙塘收费站</w:t>
      </w:r>
    </w:p>
    <w:p>
      <w:pPr>
        <w:pStyle w:val="295"/>
        <w:rPr>
          <w:color w:val="auto"/>
        </w:rPr>
      </w:pPr>
      <w:r>
        <w:rPr>
          <w:color w:val="auto"/>
        </w:rPr>
        <w:t>2.</w:t>
      </w:r>
      <w:r>
        <w:rPr>
          <w:rFonts w:hint="eastAsia"/>
          <w:color w:val="auto"/>
        </w:rPr>
        <w:t>4</w:t>
      </w:r>
      <w:r>
        <w:rPr>
          <w:color w:val="auto"/>
        </w:rPr>
        <w:t xml:space="preserve"> </w:t>
      </w:r>
      <w:r>
        <w:rPr>
          <w:rFonts w:hint="eastAsia"/>
          <w:color w:val="auto"/>
        </w:rPr>
        <w:t>合肥管理处</w:t>
      </w:r>
      <w:r>
        <w:rPr>
          <w:color w:val="auto"/>
        </w:rPr>
        <w:t>——</w:t>
      </w:r>
      <w:r>
        <w:rPr>
          <w:rFonts w:hint="eastAsia"/>
          <w:color w:val="auto"/>
        </w:rPr>
        <w:t>包河收费站</w:t>
      </w:r>
    </w:p>
    <w:p>
      <w:pPr>
        <w:pStyle w:val="295"/>
        <w:rPr>
          <w:color w:val="auto"/>
        </w:rPr>
      </w:pPr>
      <w:r>
        <w:rPr>
          <w:color w:val="auto"/>
        </w:rPr>
        <w:t>2.</w:t>
      </w:r>
      <w:r>
        <w:rPr>
          <w:rFonts w:hint="eastAsia"/>
          <w:color w:val="auto"/>
        </w:rPr>
        <w:t>5</w:t>
      </w:r>
      <w:r>
        <w:rPr>
          <w:color w:val="auto"/>
        </w:rPr>
        <w:t xml:space="preserve"> </w:t>
      </w:r>
      <w:r>
        <w:rPr>
          <w:rFonts w:hint="eastAsia"/>
          <w:color w:val="auto"/>
        </w:rPr>
        <w:t>合肥管理处</w:t>
      </w:r>
      <w:r>
        <w:rPr>
          <w:color w:val="auto"/>
        </w:rPr>
        <w:t>——</w:t>
      </w:r>
      <w:r>
        <w:rPr>
          <w:rFonts w:hint="eastAsia"/>
          <w:color w:val="auto"/>
        </w:rPr>
        <w:t>蜀山收费站</w:t>
      </w:r>
    </w:p>
    <w:p>
      <w:pPr>
        <w:pStyle w:val="295"/>
        <w:rPr>
          <w:color w:val="auto"/>
        </w:rPr>
      </w:pPr>
      <w:r>
        <w:rPr>
          <w:color w:val="auto"/>
        </w:rPr>
        <w:t>2.</w:t>
      </w:r>
      <w:r>
        <w:rPr>
          <w:rFonts w:hint="eastAsia"/>
          <w:color w:val="auto"/>
        </w:rPr>
        <w:t>6</w:t>
      </w:r>
      <w:r>
        <w:rPr>
          <w:color w:val="auto"/>
        </w:rPr>
        <w:t xml:space="preserve"> </w:t>
      </w:r>
      <w:r>
        <w:rPr>
          <w:rFonts w:hint="eastAsia"/>
          <w:color w:val="auto"/>
        </w:rPr>
        <w:t>合肥管理处</w:t>
      </w:r>
      <w:r>
        <w:rPr>
          <w:color w:val="auto"/>
        </w:rPr>
        <w:t>——</w:t>
      </w:r>
      <w:r>
        <w:rPr>
          <w:rFonts w:hint="eastAsia"/>
          <w:color w:val="auto"/>
        </w:rPr>
        <w:t>机场收费站</w:t>
      </w:r>
    </w:p>
    <w:p>
      <w:pPr>
        <w:pStyle w:val="295"/>
        <w:rPr>
          <w:color w:val="auto"/>
        </w:rPr>
      </w:pPr>
      <w:r>
        <w:rPr>
          <w:color w:val="auto"/>
        </w:rPr>
        <w:t>2.</w:t>
      </w:r>
      <w:r>
        <w:rPr>
          <w:rFonts w:hint="eastAsia"/>
          <w:color w:val="auto"/>
        </w:rPr>
        <w:t>7淮南管理处</w:t>
      </w:r>
      <w:r>
        <w:rPr>
          <w:color w:val="auto"/>
        </w:rPr>
        <w:t>——</w:t>
      </w:r>
      <w:r>
        <w:rPr>
          <w:rFonts w:hint="eastAsia"/>
          <w:color w:val="auto"/>
        </w:rPr>
        <w:t>永丰收费站</w:t>
      </w:r>
    </w:p>
    <w:p>
      <w:pPr>
        <w:pStyle w:val="295"/>
        <w:rPr>
          <w:color w:val="auto"/>
        </w:rPr>
      </w:pPr>
      <w:r>
        <w:rPr>
          <w:color w:val="auto"/>
        </w:rPr>
        <w:t>2.</w:t>
      </w:r>
      <w:r>
        <w:rPr>
          <w:rFonts w:hint="eastAsia"/>
          <w:color w:val="auto"/>
        </w:rPr>
        <w:t>8淮南管理处</w:t>
      </w:r>
      <w:r>
        <w:rPr>
          <w:color w:val="auto"/>
        </w:rPr>
        <w:t>——</w:t>
      </w:r>
      <w:r>
        <w:rPr>
          <w:rFonts w:hint="eastAsia"/>
          <w:color w:val="auto"/>
        </w:rPr>
        <w:t>凤台收费站</w:t>
      </w:r>
    </w:p>
    <w:p>
      <w:pPr>
        <w:pStyle w:val="295"/>
        <w:rPr>
          <w:color w:val="auto"/>
        </w:rPr>
      </w:pPr>
      <w:r>
        <w:rPr>
          <w:color w:val="auto"/>
        </w:rPr>
        <w:t>2.</w:t>
      </w:r>
      <w:r>
        <w:rPr>
          <w:rFonts w:hint="eastAsia"/>
          <w:color w:val="auto"/>
        </w:rPr>
        <w:t>9淮南管理处</w:t>
      </w:r>
      <w:r>
        <w:rPr>
          <w:color w:val="auto"/>
        </w:rPr>
        <w:t>——</w:t>
      </w:r>
      <w:r>
        <w:rPr>
          <w:rFonts w:hint="eastAsia"/>
          <w:color w:val="auto"/>
        </w:rPr>
        <w:t>安丰收费站</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w:t>
      </w:r>
      <w:r>
        <w:rPr>
          <w:rFonts w:hint="eastAsia" w:ascii="Times New Roman" w:hAnsi="Times New Roman" w:cs="Times New Roman"/>
          <w:color w:val="auto"/>
        </w:rPr>
        <w:t>9</w:t>
      </w:r>
      <w:r>
        <w:rPr>
          <w:rFonts w:ascii="Times New Roman" w:hAnsi="Times New Roman" w:cs="Times New Roman"/>
          <w:color w:val="auto"/>
        </w:rPr>
        <w:t>.1 污水方案概况</w:t>
      </w:r>
    </w:p>
    <w:p>
      <w:pPr>
        <w:tabs>
          <w:tab w:val="left" w:pos="525"/>
        </w:tabs>
        <w:adjustRightInd w:val="0"/>
        <w:snapToGrid w:val="0"/>
        <w:spacing w:line="360" w:lineRule="auto"/>
        <w:ind w:left="55" w:leftChars="26" w:firstLine="460" w:firstLineChars="192"/>
        <w:rPr>
          <w:rFonts w:eastAsia="仿宋_GB2312"/>
          <w:color w:val="auto"/>
          <w:sz w:val="24"/>
        </w:rPr>
      </w:pPr>
      <w:bookmarkStart w:id="2" w:name="_Hlk101199315"/>
      <w:r>
        <w:rPr>
          <w:rFonts w:hint="eastAsia" w:eastAsia="仿宋_GB2312"/>
          <w:color w:val="auto"/>
          <w:sz w:val="24"/>
        </w:rPr>
        <w:t>安丰收费站现状污水处理设施西侧新建泵井，设压力污水管北侧出收费站大门后向西沿瓦埠湖路边敷设管线，并接入安丰镇现状d</w:t>
      </w:r>
      <w:r>
        <w:rPr>
          <w:rFonts w:eastAsia="仿宋_GB2312"/>
          <w:color w:val="auto"/>
          <w:sz w:val="24"/>
        </w:rPr>
        <w:t>500</w:t>
      </w:r>
      <w:r>
        <w:rPr>
          <w:rFonts w:hint="eastAsia" w:eastAsia="仿宋_GB2312"/>
          <w:color w:val="auto"/>
          <w:sz w:val="24"/>
        </w:rPr>
        <w:t>市政污水管。园区内同步新建隔油池及化粪池，并对堵塞严重管道进行清淤疏通。</w:t>
      </w:r>
    </w:p>
    <w:bookmarkEnd w:id="2"/>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w:t>
      </w:r>
      <w:r>
        <w:rPr>
          <w:rFonts w:hint="eastAsia" w:ascii="Times New Roman" w:hAnsi="Times New Roman" w:cs="Times New Roman"/>
          <w:color w:val="auto"/>
        </w:rPr>
        <w:t>9</w:t>
      </w:r>
      <w:r>
        <w:rPr>
          <w:rFonts w:ascii="Times New Roman" w:hAnsi="Times New Roman" w:cs="Times New Roman"/>
          <w:color w:val="auto"/>
        </w:rPr>
        <w:t>.2 沿线现状调查</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w:t>
      </w:r>
      <w:r>
        <w:rPr>
          <w:rFonts w:hint="eastAsia" w:eastAsia="仿宋_GB2312"/>
          <w:b/>
          <w:bCs/>
          <w:color w:val="auto"/>
          <w:sz w:val="24"/>
        </w:rPr>
        <w:t>园区</w:t>
      </w:r>
      <w:r>
        <w:rPr>
          <w:rFonts w:eastAsia="仿宋_GB2312"/>
          <w:b/>
          <w:bCs/>
          <w:color w:val="auto"/>
          <w:sz w:val="24"/>
        </w:rPr>
        <w:t>内部排水系统调查</w:t>
      </w:r>
    </w:p>
    <w:p>
      <w:pPr>
        <w:tabs>
          <w:tab w:val="left" w:pos="525"/>
        </w:tabs>
        <w:adjustRightInd w:val="0"/>
        <w:snapToGrid w:val="0"/>
        <w:spacing w:line="360" w:lineRule="auto"/>
        <w:ind w:firstLine="480" w:firstLineChars="200"/>
        <w:jc w:val="center"/>
        <w:rPr>
          <w:rFonts w:eastAsia="仿宋_GB2312"/>
          <w:color w:val="auto"/>
          <w:sz w:val="24"/>
        </w:rPr>
      </w:pPr>
      <w:r>
        <w:rPr>
          <w:rFonts w:hint="eastAsia" w:eastAsia="仿宋_GB2312"/>
          <w:color w:val="auto"/>
          <w:sz w:val="24"/>
        </w:rPr>
        <w:t>安丰收费站位于德上高速，于2016年建成，园区共23人，住宿约16人。</w:t>
      </w:r>
      <w:bookmarkStart w:id="3" w:name="_Hlk101201645"/>
      <w:r>
        <w:rPr>
          <w:rFonts w:hint="eastAsia" w:eastAsia="仿宋_GB2312"/>
          <w:color w:val="auto"/>
          <w:sz w:val="24"/>
        </w:rPr>
        <w:t>园区用水量大约</w:t>
      </w:r>
    </w:p>
    <w:p>
      <w:pPr>
        <w:tabs>
          <w:tab w:val="left" w:pos="525"/>
        </w:tabs>
        <w:adjustRightInd w:val="0"/>
        <w:snapToGrid w:val="0"/>
        <w:spacing w:line="360" w:lineRule="auto"/>
        <w:rPr>
          <w:rFonts w:eastAsia="仿宋_GB2312"/>
          <w:color w:val="auto"/>
          <w:sz w:val="24"/>
        </w:rPr>
      </w:pPr>
      <w:r>
        <w:rPr>
          <w:rFonts w:hint="eastAsia" w:eastAsia="仿宋_GB2312"/>
          <w:color w:val="auto"/>
          <w:sz w:val="24"/>
        </w:rPr>
        <w:t>为</w:t>
      </w:r>
      <w:r>
        <w:rPr>
          <w:rFonts w:eastAsia="仿宋_GB2312"/>
          <w:color w:val="auto"/>
          <w:sz w:val="24"/>
        </w:rPr>
        <w:t xml:space="preserve">6 </w:t>
      </w:r>
      <w:r>
        <w:rPr>
          <w:rFonts w:hint="eastAsia" w:eastAsia="仿宋_GB2312"/>
          <w:color w:val="auto"/>
          <w:sz w:val="24"/>
        </w:rPr>
        <w:t>m3/d。根据现场实地踏勘，收费站现状排水为雨污分流，现状为地埋土建式污水处理设</w:t>
      </w:r>
    </w:p>
    <w:p>
      <w:pPr>
        <w:tabs>
          <w:tab w:val="left" w:pos="525"/>
        </w:tabs>
        <w:adjustRightInd w:val="0"/>
        <w:snapToGrid w:val="0"/>
        <w:spacing w:line="360" w:lineRule="auto"/>
        <w:rPr>
          <w:rFonts w:eastAsia="仿宋_GB2312"/>
          <w:color w:val="auto"/>
          <w:sz w:val="24"/>
        </w:rPr>
      </w:pPr>
      <w:r>
        <w:rPr>
          <w:rFonts w:hint="eastAsia" w:eastAsia="仿宋_GB2312"/>
          <w:color w:val="auto"/>
          <w:sz w:val="24"/>
        </w:rPr>
        <w:t>施，设备长期无人运维，排口进入收费站旁沟渠中，排水水质不达标。园区内管网运行状态良</w:t>
      </w:r>
    </w:p>
    <w:p>
      <w:pPr>
        <w:tabs>
          <w:tab w:val="left" w:pos="525"/>
        </w:tabs>
        <w:adjustRightInd w:val="0"/>
        <w:snapToGrid w:val="0"/>
        <w:spacing w:line="360" w:lineRule="auto"/>
        <w:rPr>
          <w:rFonts w:eastAsia="仿宋_GB2312"/>
          <w:color w:val="auto"/>
          <w:sz w:val="24"/>
        </w:rPr>
      </w:pPr>
      <w:r>
        <w:rPr>
          <w:rFonts w:hint="eastAsia" w:eastAsia="仿宋_GB2312"/>
          <w:color w:val="auto"/>
          <w:sz w:val="24"/>
        </w:rPr>
        <w:t>好，有部分管道及化粪池堵塞。餐厅隔油池规格较小，堵塞较为严重。</w:t>
      </w:r>
      <w:bookmarkEnd w:id="3"/>
    </w:p>
    <w:p>
      <w:pPr>
        <w:tabs>
          <w:tab w:val="left" w:pos="525"/>
        </w:tabs>
        <w:adjustRightInd w:val="0"/>
        <w:snapToGrid w:val="0"/>
        <w:spacing w:line="360" w:lineRule="auto"/>
        <w:ind w:firstLine="420" w:firstLineChars="200"/>
        <w:jc w:val="center"/>
        <w:rPr>
          <w:rFonts w:eastAsia="仿宋_GB2312"/>
          <w:color w:val="auto"/>
          <w:sz w:val="24"/>
        </w:rPr>
      </w:pPr>
      <w:r>
        <w:rPr>
          <w:color w:val="auto"/>
        </w:rPr>
        <w:drawing>
          <wp:inline distT="0" distB="0" distL="0" distR="0">
            <wp:extent cx="5367020" cy="2700655"/>
            <wp:effectExtent l="0" t="0" r="508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382487" cy="2708370"/>
                    </a:xfrm>
                    <a:prstGeom prst="rect">
                      <a:avLst/>
                    </a:prstGeom>
                  </pic:spPr>
                </pic:pic>
              </a:graphicData>
            </a:graphic>
          </wp:inline>
        </w:drawing>
      </w:r>
    </w:p>
    <w:p>
      <w:pPr>
        <w:tabs>
          <w:tab w:val="left" w:pos="525"/>
        </w:tabs>
        <w:adjustRightInd w:val="0"/>
        <w:snapToGrid w:val="0"/>
        <w:spacing w:line="360" w:lineRule="auto"/>
        <w:jc w:val="center"/>
        <w:rPr>
          <w:rFonts w:eastAsia="仿宋_GB2312"/>
          <w:b/>
          <w:bCs/>
          <w:color w:val="auto"/>
          <w:sz w:val="24"/>
        </w:rPr>
      </w:pPr>
      <w:r>
        <w:rPr>
          <w:rFonts w:hint="eastAsia" w:eastAsia="仿宋_GB2312"/>
          <w:b/>
          <w:bCs/>
          <w:color w:val="auto"/>
          <w:sz w:val="24"/>
        </w:rPr>
        <w:t>安丰收费站</w:t>
      </w:r>
      <w:bookmarkStart w:id="4" w:name="_Hlk101202978"/>
      <w:r>
        <w:rPr>
          <w:rFonts w:hint="eastAsia" w:eastAsia="仿宋_GB2312"/>
          <w:b/>
          <w:bCs/>
          <w:color w:val="auto"/>
          <w:sz w:val="24"/>
        </w:rPr>
        <w:t>现状排水系统图</w:t>
      </w:r>
      <w:bookmarkEnd w:id="4"/>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（2）沿线路由</w:t>
      </w:r>
      <w:r>
        <w:rPr>
          <w:rFonts w:hint="eastAsia" w:eastAsia="仿宋_GB2312"/>
          <w:b/>
          <w:bCs/>
          <w:color w:val="auto"/>
          <w:sz w:val="24"/>
        </w:rPr>
        <w:t>及市政（城镇）排水系统接驳点</w:t>
      </w:r>
      <w:r>
        <w:rPr>
          <w:rFonts w:eastAsia="仿宋_GB2312"/>
          <w:b/>
          <w:bCs/>
          <w:color w:val="auto"/>
          <w:sz w:val="24"/>
        </w:rPr>
        <w:t>调查</w:t>
      </w:r>
    </w:p>
    <w:p>
      <w:pPr>
        <w:tabs>
          <w:tab w:val="left" w:pos="525"/>
        </w:tabs>
        <w:adjustRightInd w:val="0"/>
        <w:snapToGrid w:val="0"/>
        <w:spacing w:line="360" w:lineRule="auto"/>
        <w:ind w:left="55" w:leftChars="26" w:firstLine="403" w:firstLineChars="192"/>
        <w:jc w:val="center"/>
        <w:rPr>
          <w:rFonts w:eastAsia="仿宋_GB2312"/>
          <w:b/>
          <w:bCs/>
          <w:color w:val="auto"/>
          <w:sz w:val="24"/>
        </w:rPr>
      </w:pPr>
      <w:r>
        <w:rPr>
          <w:color w:val="auto"/>
        </w:rPr>
        <w:drawing>
          <wp:inline distT="0" distB="0" distL="0" distR="0">
            <wp:extent cx="5141595" cy="356298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175961" cy="3586524"/>
                    </a:xfrm>
                    <a:prstGeom prst="rect">
                      <a:avLst/>
                    </a:prstGeom>
                  </pic:spPr>
                </pic:pic>
              </a:graphicData>
            </a:graphic>
          </wp:inline>
        </w:drawing>
      </w:r>
    </w:p>
    <w:p>
      <w:pPr>
        <w:tabs>
          <w:tab w:val="left" w:pos="525"/>
        </w:tabs>
        <w:adjustRightInd w:val="0"/>
        <w:snapToGrid w:val="0"/>
        <w:spacing w:line="360" w:lineRule="auto"/>
        <w:jc w:val="center"/>
        <w:rPr>
          <w:rFonts w:eastAsia="仿宋_GB2312"/>
          <w:b/>
          <w:bCs/>
          <w:color w:val="auto"/>
          <w:sz w:val="24"/>
        </w:rPr>
      </w:pPr>
      <w:r>
        <w:rPr>
          <w:rFonts w:hint="eastAsia" w:eastAsia="仿宋_GB2312"/>
          <w:b/>
          <w:bCs/>
          <w:color w:val="auto"/>
          <w:sz w:val="24"/>
        </w:rPr>
        <w:t>安丰收费站市政接驳调查图</w:t>
      </w:r>
    </w:p>
    <w:p>
      <w:pPr>
        <w:tabs>
          <w:tab w:val="left" w:pos="525"/>
        </w:tabs>
        <w:adjustRightInd w:val="0"/>
        <w:snapToGrid w:val="0"/>
        <w:spacing w:line="360" w:lineRule="auto"/>
        <w:ind w:left="55" w:leftChars="26" w:firstLine="460" w:firstLineChars="192"/>
        <w:jc w:val="center"/>
        <w:rPr>
          <w:rFonts w:eastAsia="仿宋_GB2312"/>
          <w:color w:val="auto"/>
          <w:sz w:val="24"/>
        </w:rPr>
      </w:pPr>
      <w:r>
        <w:rPr>
          <w:rFonts w:hint="eastAsia" w:eastAsia="仿宋_GB2312"/>
          <w:color w:val="auto"/>
          <w:sz w:val="24"/>
        </w:rPr>
        <w:t xml:space="preserve"> </w:t>
      </w:r>
      <w:r>
        <w:rPr>
          <w:rFonts w:eastAsia="仿宋_GB2312"/>
          <w:color w:val="auto"/>
          <w:sz w:val="24"/>
        </w:rPr>
        <w:t xml:space="preserve"> </w:t>
      </w:r>
      <w:r>
        <w:rPr>
          <w:rFonts w:hint="eastAsia" w:eastAsia="仿宋_GB2312"/>
          <w:color w:val="auto"/>
          <w:sz w:val="24"/>
        </w:rPr>
        <w:t>根据现场踏勘发现，距离收费站管理区西侧约</w:t>
      </w:r>
      <w:r>
        <w:rPr>
          <w:rFonts w:eastAsia="仿宋_GB2312"/>
          <w:color w:val="auto"/>
          <w:sz w:val="24"/>
        </w:rPr>
        <w:t>840m</w:t>
      </w:r>
      <w:r>
        <w:rPr>
          <w:rFonts w:hint="eastAsia" w:eastAsia="仿宋_GB2312"/>
          <w:color w:val="auto"/>
          <w:sz w:val="24"/>
        </w:rPr>
        <w:t>的空地上有安丰镇市政污水管网，污水管径</w:t>
      </w:r>
      <w:r>
        <w:rPr>
          <w:rFonts w:eastAsia="仿宋_GB2312"/>
          <w:color w:val="auto"/>
          <w:sz w:val="24"/>
        </w:rPr>
        <w:t>DN500</w:t>
      </w:r>
      <w:r>
        <w:rPr>
          <w:rFonts w:hint="eastAsia" w:eastAsia="仿宋_GB2312"/>
          <w:color w:val="auto"/>
          <w:sz w:val="24"/>
        </w:rPr>
        <w:t>，本次建议收费站内生活污水统一收集后，提升接入该现状市政污水管网。</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2.</w:t>
      </w:r>
      <w:r>
        <w:rPr>
          <w:rFonts w:hint="eastAsia" w:ascii="Times New Roman" w:hAnsi="Times New Roman" w:cs="Times New Roman"/>
          <w:color w:val="auto"/>
        </w:rPr>
        <w:t>9</w:t>
      </w:r>
      <w:r>
        <w:rPr>
          <w:rFonts w:ascii="Times New Roman" w:hAnsi="Times New Roman" w:cs="Times New Roman"/>
          <w:color w:val="auto"/>
        </w:rPr>
        <w:t>.3 设计方案</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（1）污水系统设计</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①将收费站办公宿舍楼、食堂等建筑物排入旧处理设备的污水管道进行截留，统一收集后接至站区内新建化粪池；②污水经新建化粪池预处理后，在原处理设备西侧新建泵井（钢混地下结构，单泵流量</w:t>
      </w:r>
      <w:r>
        <w:rPr>
          <w:rFonts w:eastAsia="仿宋_GB2312"/>
          <w:color w:val="auto"/>
          <w:sz w:val="24"/>
        </w:rPr>
        <w:t>Q=3m3/h</w:t>
      </w:r>
      <w:r>
        <w:rPr>
          <w:rFonts w:hint="eastAsia" w:eastAsia="仿宋_GB2312"/>
          <w:color w:val="auto"/>
          <w:sz w:val="24"/>
        </w:rPr>
        <w:t>，</w:t>
      </w:r>
      <w:r>
        <w:rPr>
          <w:rFonts w:eastAsia="仿宋_GB2312"/>
          <w:color w:val="auto"/>
          <w:sz w:val="24"/>
        </w:rPr>
        <w:t>H=8m</w:t>
      </w:r>
      <w:r>
        <w:rPr>
          <w:rFonts w:hint="eastAsia" w:eastAsia="仿宋_GB2312"/>
          <w:color w:val="auto"/>
          <w:sz w:val="24"/>
        </w:rPr>
        <w:t>，</w:t>
      </w:r>
      <w:r>
        <w:rPr>
          <w:rFonts w:eastAsia="仿宋_GB2312"/>
          <w:color w:val="auto"/>
          <w:sz w:val="24"/>
        </w:rPr>
        <w:t>1</w:t>
      </w:r>
      <w:r>
        <w:rPr>
          <w:rFonts w:hint="eastAsia" w:eastAsia="仿宋_GB2312"/>
          <w:color w:val="auto"/>
          <w:sz w:val="24"/>
        </w:rPr>
        <w:t>用</w:t>
      </w:r>
      <w:r>
        <w:rPr>
          <w:rFonts w:eastAsia="仿宋_GB2312"/>
          <w:color w:val="auto"/>
          <w:sz w:val="24"/>
        </w:rPr>
        <w:t>1</w:t>
      </w:r>
      <w:r>
        <w:rPr>
          <w:rFonts w:hint="eastAsia" w:eastAsia="仿宋_GB2312"/>
          <w:color w:val="auto"/>
          <w:sz w:val="24"/>
        </w:rPr>
        <w:t>备），将污水抽排后沿瓦埠湖南侧空地向西敷设至安丰镇污水管网，经消能井后改为重力直排接入安丰镇现状市政污水管网内，敷设总长度约</w:t>
      </w:r>
      <w:r>
        <w:rPr>
          <w:rFonts w:eastAsia="仿宋_GB2312"/>
          <w:color w:val="auto"/>
          <w:sz w:val="24"/>
        </w:rPr>
        <w:t>905m</w:t>
      </w:r>
      <w:r>
        <w:rPr>
          <w:rFonts w:hint="eastAsia" w:eastAsia="仿宋_GB2312"/>
          <w:color w:val="auto"/>
          <w:sz w:val="24"/>
        </w:rPr>
        <w:t>，压力管径</w:t>
      </w:r>
      <w:r>
        <w:rPr>
          <w:rFonts w:eastAsia="仿宋_GB2312"/>
          <w:color w:val="auto"/>
          <w:sz w:val="24"/>
        </w:rPr>
        <w:t>DN50</w:t>
      </w:r>
      <w:r>
        <w:rPr>
          <w:rFonts w:hint="eastAsia" w:eastAsia="仿宋_GB2312"/>
          <w:color w:val="auto"/>
          <w:sz w:val="24"/>
        </w:rPr>
        <w:t>，重力管径</w:t>
      </w:r>
      <w:r>
        <w:rPr>
          <w:rFonts w:eastAsia="仿宋_GB2312"/>
          <w:color w:val="auto"/>
          <w:sz w:val="24"/>
        </w:rPr>
        <w:t>DN300</w:t>
      </w:r>
      <w:r>
        <w:rPr>
          <w:rFonts w:hint="eastAsia" w:eastAsia="仿宋_GB2312"/>
          <w:color w:val="auto"/>
          <w:sz w:val="24"/>
        </w:rPr>
        <w:t>；③新建泵井供电电源可从设备房配电间直接引接，引接长度约</w:t>
      </w:r>
      <w:r>
        <w:rPr>
          <w:rFonts w:eastAsia="仿宋_GB2312"/>
          <w:color w:val="auto"/>
          <w:sz w:val="24"/>
        </w:rPr>
        <w:t>90m</w:t>
      </w:r>
      <w:r>
        <w:rPr>
          <w:rFonts w:hint="eastAsia" w:eastAsia="仿宋_GB2312"/>
          <w:color w:val="auto"/>
          <w:sz w:val="24"/>
        </w:rPr>
        <w:t>，站区配电预留功率约</w:t>
      </w:r>
      <w:r>
        <w:rPr>
          <w:rFonts w:eastAsia="仿宋_GB2312"/>
          <w:color w:val="auto"/>
          <w:sz w:val="24"/>
        </w:rPr>
        <w:t>500kw</w:t>
      </w:r>
      <w:r>
        <w:rPr>
          <w:rFonts w:hint="eastAsia" w:eastAsia="仿宋_GB2312"/>
          <w:color w:val="auto"/>
          <w:sz w:val="24"/>
        </w:rPr>
        <w:t>，可满足新建泵井约</w:t>
      </w:r>
      <w:r>
        <w:rPr>
          <w:rFonts w:eastAsia="仿宋_GB2312"/>
          <w:color w:val="auto"/>
          <w:sz w:val="24"/>
        </w:rPr>
        <w:t>0.75kw</w:t>
      </w:r>
      <w:r>
        <w:rPr>
          <w:rFonts w:hint="eastAsia" w:eastAsia="仿宋_GB2312"/>
          <w:color w:val="auto"/>
          <w:sz w:val="24"/>
        </w:rPr>
        <w:t>（单泵）的用电需求。</w:t>
      </w:r>
    </w:p>
    <w:p>
      <w:pPr>
        <w:tabs>
          <w:tab w:val="left" w:pos="525"/>
        </w:tabs>
        <w:adjustRightInd w:val="0"/>
        <w:snapToGrid w:val="0"/>
        <w:spacing w:line="360" w:lineRule="auto"/>
        <w:ind w:left="55" w:leftChars="26" w:firstLine="403" w:firstLineChars="192"/>
        <w:jc w:val="center"/>
        <w:rPr>
          <w:rFonts w:eastAsia="仿宋_GB2312"/>
          <w:color w:val="auto"/>
          <w:sz w:val="24"/>
        </w:rPr>
      </w:pPr>
      <w:r>
        <w:rPr>
          <w:color w:val="auto"/>
        </w:rPr>
        <w:drawing>
          <wp:inline distT="0" distB="0" distL="0" distR="0">
            <wp:extent cx="6119495" cy="39528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6132953" cy="3961170"/>
                    </a:xfrm>
                    <a:prstGeom prst="rect">
                      <a:avLst/>
                    </a:prstGeom>
                  </pic:spPr>
                </pic:pic>
              </a:graphicData>
            </a:graphic>
          </wp:inline>
        </w:drawing>
      </w:r>
    </w:p>
    <w:p>
      <w:pPr>
        <w:tabs>
          <w:tab w:val="left" w:pos="525"/>
        </w:tabs>
        <w:adjustRightInd w:val="0"/>
        <w:snapToGrid w:val="0"/>
        <w:spacing w:line="360" w:lineRule="auto"/>
        <w:ind w:left="55" w:leftChars="26" w:firstLine="463" w:firstLineChars="192"/>
        <w:jc w:val="center"/>
        <w:rPr>
          <w:rFonts w:eastAsia="仿宋_GB2312"/>
          <w:b/>
          <w:bCs/>
          <w:color w:val="auto"/>
          <w:sz w:val="24"/>
        </w:rPr>
      </w:pPr>
      <w:r>
        <w:rPr>
          <w:rFonts w:hint="eastAsia" w:eastAsia="仿宋_GB2312"/>
          <w:b/>
          <w:bCs/>
          <w:color w:val="auto"/>
          <w:sz w:val="24"/>
        </w:rPr>
        <w:t>安丰收费站污水接驳系统图</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（2）泵站设计</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拟建泵站位于</w:t>
      </w:r>
      <w:r>
        <w:rPr>
          <w:rFonts w:hint="eastAsia" w:eastAsia="仿宋_GB2312"/>
          <w:color w:val="auto"/>
          <w:sz w:val="24"/>
        </w:rPr>
        <w:t>安丰收费站原处理设备西侧绿地</w:t>
      </w:r>
      <w:r>
        <w:rPr>
          <w:rFonts w:eastAsia="仿宋_GB2312"/>
          <w:color w:val="auto"/>
          <w:sz w:val="24"/>
        </w:rPr>
        <w:t>，采用</w:t>
      </w:r>
      <w:r>
        <w:rPr>
          <w:rFonts w:hint="eastAsia" w:eastAsia="仿宋_GB2312"/>
          <w:color w:val="auto"/>
          <w:sz w:val="24"/>
        </w:rPr>
        <w:t>全</w:t>
      </w:r>
      <w:r>
        <w:rPr>
          <w:rFonts w:eastAsia="仿宋_GB2312"/>
          <w:color w:val="auto"/>
          <w:sz w:val="24"/>
        </w:rPr>
        <w:t>地下式，主要包括泵坑、配电柜。泵坑采用钢筋混凝土结构，尺寸为</w:t>
      </w:r>
      <w:r>
        <w:rPr>
          <w:rFonts w:hint="eastAsia" w:eastAsia="仿宋_GB2312"/>
          <w:color w:val="auto"/>
          <w:sz w:val="24"/>
        </w:rPr>
        <w:t>3</w:t>
      </w:r>
      <w:r>
        <w:rPr>
          <w:rFonts w:eastAsia="仿宋_GB2312"/>
          <w:color w:val="auto"/>
          <w:sz w:val="24"/>
        </w:rPr>
        <w:t>m</w:t>
      </w:r>
      <w:r>
        <w:rPr>
          <w:rFonts w:hint="eastAsia" w:eastAsia="仿宋_GB2312"/>
          <w:color w:val="auto"/>
          <w:sz w:val="24"/>
        </w:rPr>
        <w:t>×2m×3.5m</w:t>
      </w:r>
      <w:r>
        <w:rPr>
          <w:rFonts w:eastAsia="仿宋_GB2312"/>
          <w:color w:val="auto"/>
          <w:sz w:val="24"/>
        </w:rPr>
        <w:t>，内置2台潜污泵（1用1备）、出水管、阀门、服务平台、通风管、提升链、液位计等全套设备，水泵采用湿式安装，单台水泵参数为Q=3m3/</w:t>
      </w:r>
      <w:r>
        <w:rPr>
          <w:rFonts w:hint="eastAsia" w:eastAsia="仿宋_GB2312"/>
          <w:color w:val="auto"/>
          <w:sz w:val="24"/>
        </w:rPr>
        <w:t>h</w:t>
      </w:r>
      <w:r>
        <w:rPr>
          <w:rFonts w:eastAsia="仿宋_GB2312"/>
          <w:color w:val="auto"/>
          <w:sz w:val="24"/>
        </w:rPr>
        <w:t>、H=8m、P=0.75kW。水泵运行曲线如下图</w:t>
      </w:r>
      <w:r>
        <w:rPr>
          <w:rFonts w:hint="eastAsia" w:eastAsia="仿宋_GB2312"/>
          <w:color w:val="auto"/>
          <w:sz w:val="24"/>
        </w:rPr>
        <w:t>1</w:t>
      </w:r>
      <w:r>
        <w:rPr>
          <w:rFonts w:eastAsia="仿宋_GB2312"/>
          <w:color w:val="auto"/>
          <w:sz w:val="24"/>
        </w:rPr>
        <w:t>：</w:t>
      </w:r>
    </w:p>
    <w:p>
      <w:pPr>
        <w:tabs>
          <w:tab w:val="left" w:pos="525"/>
        </w:tabs>
        <w:adjustRightInd w:val="0"/>
        <w:snapToGrid w:val="0"/>
        <w:spacing w:line="360" w:lineRule="auto"/>
        <w:jc w:val="center"/>
        <w:rPr>
          <w:rFonts w:eastAsia="仿宋_GB2312"/>
          <w:b/>
          <w:bCs/>
          <w:color w:val="auto"/>
          <w:sz w:val="24"/>
        </w:rPr>
      </w:pPr>
      <w:r>
        <w:rPr>
          <w:color w:val="auto"/>
        </w:rPr>
        <w:drawing>
          <wp:inline distT="0" distB="0" distL="0" distR="0">
            <wp:extent cx="3810000" cy="38481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810000" cy="3848100"/>
                    </a:xfrm>
                    <a:prstGeom prst="rect">
                      <a:avLst/>
                    </a:prstGeom>
                  </pic:spPr>
                </pic:pic>
              </a:graphicData>
            </a:graphic>
          </wp:inline>
        </w:drawing>
      </w:r>
    </w:p>
    <w:p>
      <w:pPr>
        <w:tabs>
          <w:tab w:val="left" w:pos="525"/>
        </w:tabs>
        <w:adjustRightInd w:val="0"/>
        <w:snapToGrid w:val="0"/>
        <w:spacing w:line="360" w:lineRule="auto"/>
        <w:jc w:val="center"/>
        <w:rPr>
          <w:rFonts w:eastAsia="仿宋_GB2312"/>
          <w:b/>
          <w:bCs/>
          <w:color w:val="auto"/>
          <w:sz w:val="24"/>
        </w:rPr>
      </w:pPr>
      <w:r>
        <w:rPr>
          <w:rFonts w:hint="eastAsia" w:eastAsia="仿宋_GB2312"/>
          <w:b/>
          <w:bCs/>
          <w:color w:val="auto"/>
          <w:sz w:val="24"/>
        </w:rPr>
        <w:t>安丰收费站水泵运行曲线图</w:t>
      </w:r>
    </w:p>
    <w:p>
      <w:pPr>
        <w:pStyle w:val="295"/>
        <w:rPr>
          <w:color w:val="auto"/>
        </w:rPr>
      </w:pPr>
      <w:r>
        <w:rPr>
          <w:color w:val="auto"/>
        </w:rPr>
        <w:t>2.</w:t>
      </w:r>
      <w:r>
        <w:rPr>
          <w:rFonts w:hint="eastAsia"/>
          <w:color w:val="auto"/>
        </w:rPr>
        <w:t>10六安北管理处</w:t>
      </w:r>
      <w:r>
        <w:rPr>
          <w:color w:val="auto"/>
        </w:rPr>
        <w:t>——</w:t>
      </w:r>
      <w:r>
        <w:rPr>
          <w:rFonts w:hint="eastAsia"/>
          <w:color w:val="auto"/>
        </w:rPr>
        <w:t>大顾店收费站</w:t>
      </w:r>
    </w:p>
    <w:p>
      <w:pPr>
        <w:pStyle w:val="295"/>
        <w:rPr>
          <w:color w:val="auto"/>
        </w:rPr>
      </w:pPr>
      <w:r>
        <w:rPr>
          <w:color w:val="auto"/>
        </w:rPr>
        <w:t>2.</w:t>
      </w:r>
      <w:r>
        <w:rPr>
          <w:rFonts w:hint="eastAsia"/>
          <w:color w:val="auto"/>
        </w:rPr>
        <w:t>11六安北管理处</w:t>
      </w:r>
      <w:r>
        <w:rPr>
          <w:color w:val="auto"/>
        </w:rPr>
        <w:t>——</w:t>
      </w:r>
      <w:r>
        <w:rPr>
          <w:rFonts w:hint="eastAsia"/>
          <w:color w:val="auto"/>
        </w:rPr>
        <w:t>大顾店工区</w:t>
      </w:r>
    </w:p>
    <w:p>
      <w:pPr>
        <w:pStyle w:val="295"/>
        <w:rPr>
          <w:color w:val="auto"/>
        </w:rPr>
      </w:pPr>
      <w:r>
        <w:rPr>
          <w:color w:val="auto"/>
        </w:rPr>
        <w:t>2.</w:t>
      </w:r>
      <w:r>
        <w:rPr>
          <w:rFonts w:hint="eastAsia"/>
          <w:color w:val="auto"/>
        </w:rPr>
        <w:t>12六安北管理处</w:t>
      </w:r>
      <w:r>
        <w:rPr>
          <w:color w:val="auto"/>
        </w:rPr>
        <w:t>——</w:t>
      </w:r>
      <w:r>
        <w:rPr>
          <w:rFonts w:hint="eastAsia"/>
          <w:color w:val="auto"/>
        </w:rPr>
        <w:t>金寨保障分中心</w:t>
      </w:r>
    </w:p>
    <w:p>
      <w:pPr>
        <w:pStyle w:val="295"/>
        <w:rPr>
          <w:color w:val="auto"/>
        </w:rPr>
      </w:pPr>
      <w:r>
        <w:rPr>
          <w:color w:val="auto"/>
        </w:rPr>
        <w:t>2.</w:t>
      </w:r>
      <w:r>
        <w:rPr>
          <w:rFonts w:hint="eastAsia"/>
          <w:color w:val="auto"/>
        </w:rPr>
        <w:t>13六安北管理处</w:t>
      </w:r>
      <w:r>
        <w:rPr>
          <w:color w:val="auto"/>
        </w:rPr>
        <w:t>——</w:t>
      </w:r>
      <w:r>
        <w:rPr>
          <w:rFonts w:hint="eastAsia"/>
          <w:color w:val="auto"/>
        </w:rPr>
        <w:t>天堂寨收费站</w:t>
      </w:r>
    </w:p>
    <w:p>
      <w:pPr>
        <w:pStyle w:val="295"/>
        <w:rPr>
          <w:color w:val="auto"/>
        </w:rPr>
      </w:pPr>
      <w:r>
        <w:rPr>
          <w:color w:val="auto"/>
        </w:rPr>
        <w:t>2.</w:t>
      </w:r>
      <w:r>
        <w:rPr>
          <w:rFonts w:hint="eastAsia"/>
          <w:color w:val="auto"/>
        </w:rPr>
        <w:t>14六安北管理处</w:t>
      </w:r>
      <w:r>
        <w:rPr>
          <w:color w:val="auto"/>
        </w:rPr>
        <w:t>——</w:t>
      </w:r>
      <w:r>
        <w:rPr>
          <w:rFonts w:hint="eastAsia"/>
          <w:color w:val="auto"/>
        </w:rPr>
        <w:t>天堂寨养护工区</w:t>
      </w:r>
    </w:p>
    <w:p>
      <w:pPr>
        <w:pStyle w:val="295"/>
        <w:rPr>
          <w:color w:val="auto"/>
        </w:rPr>
      </w:pPr>
      <w:r>
        <w:rPr>
          <w:color w:val="auto"/>
        </w:rPr>
        <w:t>2.</w:t>
      </w:r>
      <w:r>
        <w:rPr>
          <w:rFonts w:hint="eastAsia"/>
          <w:color w:val="auto"/>
        </w:rPr>
        <w:t>15六安北管理处</w:t>
      </w:r>
      <w:r>
        <w:rPr>
          <w:color w:val="auto"/>
        </w:rPr>
        <w:t>——</w:t>
      </w:r>
      <w:r>
        <w:rPr>
          <w:rFonts w:hint="eastAsia"/>
          <w:color w:val="auto"/>
        </w:rPr>
        <w:t>六安北收费站</w:t>
      </w:r>
    </w:p>
    <w:p>
      <w:pPr>
        <w:pStyle w:val="295"/>
        <w:rPr>
          <w:color w:val="auto"/>
        </w:rPr>
      </w:pPr>
      <w:r>
        <w:rPr>
          <w:color w:val="auto"/>
        </w:rPr>
        <w:t>2.</w:t>
      </w:r>
      <w:r>
        <w:rPr>
          <w:rFonts w:hint="eastAsia"/>
          <w:color w:val="auto"/>
        </w:rPr>
        <w:t>16六安西管理处</w:t>
      </w:r>
      <w:r>
        <w:rPr>
          <w:color w:val="auto"/>
        </w:rPr>
        <w:t>——</w:t>
      </w:r>
      <w:r>
        <w:rPr>
          <w:rFonts w:hint="eastAsia"/>
          <w:color w:val="auto"/>
        </w:rPr>
        <w:t>大别山东收费站</w:t>
      </w:r>
    </w:p>
    <w:p>
      <w:pPr>
        <w:pStyle w:val="295"/>
        <w:rPr>
          <w:color w:val="auto"/>
        </w:rPr>
      </w:pPr>
      <w:r>
        <w:rPr>
          <w:color w:val="auto"/>
        </w:rPr>
        <w:t>2.</w:t>
      </w:r>
      <w:r>
        <w:rPr>
          <w:rFonts w:hint="eastAsia"/>
          <w:color w:val="auto"/>
        </w:rPr>
        <w:t>17庐江公司</w:t>
      </w:r>
      <w:r>
        <w:rPr>
          <w:color w:val="auto"/>
        </w:rPr>
        <w:t>——</w:t>
      </w:r>
      <w:r>
        <w:rPr>
          <w:rFonts w:hint="eastAsia"/>
          <w:color w:val="auto"/>
        </w:rPr>
        <w:t>泥河收费站</w:t>
      </w:r>
    </w:p>
    <w:p>
      <w:pPr>
        <w:pStyle w:val="295"/>
        <w:rPr>
          <w:color w:val="auto"/>
        </w:rPr>
      </w:pPr>
      <w:r>
        <w:rPr>
          <w:color w:val="auto"/>
        </w:rPr>
        <w:t>2.</w:t>
      </w:r>
      <w:r>
        <w:rPr>
          <w:rFonts w:hint="eastAsia"/>
          <w:color w:val="auto"/>
        </w:rPr>
        <w:t>18庐江公司</w:t>
      </w:r>
      <w:r>
        <w:rPr>
          <w:color w:val="auto"/>
        </w:rPr>
        <w:t>——</w:t>
      </w:r>
      <w:r>
        <w:rPr>
          <w:rFonts w:hint="eastAsia"/>
          <w:color w:val="auto"/>
        </w:rPr>
        <w:t>横埠收费站</w:t>
      </w:r>
    </w:p>
    <w:p>
      <w:pPr>
        <w:pStyle w:val="295"/>
        <w:rPr>
          <w:color w:val="auto"/>
        </w:rPr>
      </w:pPr>
      <w:r>
        <w:rPr>
          <w:color w:val="auto"/>
        </w:rPr>
        <w:t>2.</w:t>
      </w:r>
      <w:r>
        <w:rPr>
          <w:rFonts w:hint="eastAsia"/>
          <w:color w:val="auto"/>
        </w:rPr>
        <w:t>19</w:t>
      </w:r>
      <w:r>
        <w:rPr>
          <w:color w:val="auto"/>
        </w:rPr>
        <w:t xml:space="preserve"> </w:t>
      </w:r>
      <w:r>
        <w:rPr>
          <w:rFonts w:hint="eastAsia"/>
          <w:color w:val="auto"/>
        </w:rPr>
        <w:t>马鞍山中心</w:t>
      </w:r>
      <w:r>
        <w:rPr>
          <w:color w:val="auto"/>
        </w:rPr>
        <w:t>——</w:t>
      </w:r>
      <w:r>
        <w:rPr>
          <w:rFonts w:hint="eastAsia"/>
          <w:color w:val="auto"/>
        </w:rPr>
        <w:t>郑蒲港收费站</w:t>
      </w:r>
    </w:p>
    <w:p>
      <w:pPr>
        <w:pStyle w:val="295"/>
        <w:rPr>
          <w:color w:val="auto"/>
        </w:rPr>
      </w:pPr>
      <w:r>
        <w:rPr>
          <w:color w:val="auto"/>
        </w:rPr>
        <w:t>2.</w:t>
      </w:r>
      <w:r>
        <w:rPr>
          <w:rFonts w:hint="eastAsia"/>
          <w:color w:val="auto"/>
        </w:rPr>
        <w:t>20马鞍山中心</w:t>
      </w:r>
      <w:r>
        <w:rPr>
          <w:color w:val="auto"/>
        </w:rPr>
        <w:t>——</w:t>
      </w:r>
      <w:r>
        <w:rPr>
          <w:rFonts w:hint="eastAsia"/>
          <w:color w:val="auto"/>
        </w:rPr>
        <w:t>太白岛收费站</w:t>
      </w:r>
    </w:p>
    <w:p>
      <w:pPr>
        <w:pStyle w:val="295"/>
        <w:rPr>
          <w:color w:val="auto"/>
        </w:rPr>
      </w:pPr>
      <w:r>
        <w:rPr>
          <w:color w:val="auto"/>
        </w:rPr>
        <w:t>2.</w:t>
      </w:r>
      <w:r>
        <w:rPr>
          <w:rFonts w:hint="eastAsia"/>
          <w:color w:val="auto"/>
        </w:rPr>
        <w:t>21马鞍山中心</w:t>
      </w:r>
      <w:r>
        <w:rPr>
          <w:color w:val="auto"/>
        </w:rPr>
        <w:t>——</w:t>
      </w:r>
      <w:r>
        <w:rPr>
          <w:rFonts w:hint="eastAsia"/>
          <w:color w:val="auto"/>
        </w:rPr>
        <w:t>和县西收费站</w:t>
      </w:r>
    </w:p>
    <w:p>
      <w:pPr>
        <w:pStyle w:val="295"/>
        <w:rPr>
          <w:color w:val="auto"/>
        </w:rPr>
      </w:pPr>
      <w:r>
        <w:rPr>
          <w:color w:val="auto"/>
        </w:rPr>
        <w:t>2.</w:t>
      </w:r>
      <w:r>
        <w:rPr>
          <w:rFonts w:hint="eastAsia"/>
          <w:color w:val="auto"/>
        </w:rPr>
        <w:t>22马鞍山中心</w:t>
      </w:r>
      <w:r>
        <w:rPr>
          <w:color w:val="auto"/>
        </w:rPr>
        <w:t>——</w:t>
      </w:r>
      <w:r>
        <w:rPr>
          <w:rFonts w:hint="eastAsia"/>
          <w:color w:val="auto"/>
        </w:rPr>
        <w:t>香泉收费站</w:t>
      </w:r>
    </w:p>
    <w:p>
      <w:pPr>
        <w:pStyle w:val="295"/>
        <w:rPr>
          <w:color w:val="auto"/>
        </w:rPr>
      </w:pPr>
      <w:r>
        <w:rPr>
          <w:color w:val="auto"/>
        </w:rPr>
        <w:t>2.</w:t>
      </w:r>
      <w:r>
        <w:rPr>
          <w:rFonts w:hint="eastAsia"/>
          <w:color w:val="auto"/>
        </w:rPr>
        <w:t>23养管中心</w:t>
      </w:r>
      <w:r>
        <w:rPr>
          <w:color w:val="auto"/>
        </w:rPr>
        <w:t>——</w:t>
      </w:r>
      <w:r>
        <w:rPr>
          <w:rFonts w:hint="eastAsia"/>
          <w:color w:val="auto"/>
        </w:rPr>
        <w:t>芜湖养护工区</w:t>
      </w:r>
    </w:p>
    <w:p>
      <w:pPr>
        <w:pStyle w:val="294"/>
        <w:rPr>
          <w:rFonts w:cs="Times New Roman"/>
          <w:color w:val="auto"/>
        </w:rPr>
      </w:pPr>
      <w:r>
        <w:rPr>
          <w:rFonts w:cs="Times New Roman"/>
          <w:color w:val="auto"/>
        </w:rPr>
        <w:t xml:space="preserve">3 </w:t>
      </w:r>
      <w:r>
        <w:rPr>
          <w:rFonts w:hint="eastAsia" w:cs="Times New Roman"/>
          <w:color w:val="auto"/>
        </w:rPr>
        <w:t>收费站及园区</w:t>
      </w:r>
      <w:r>
        <w:rPr>
          <w:rFonts w:cs="Times New Roman"/>
          <w:color w:val="auto"/>
        </w:rPr>
        <w:t>污水系统改造方案</w:t>
      </w:r>
    </w:p>
    <w:p>
      <w:pPr>
        <w:pStyle w:val="295"/>
        <w:rPr>
          <w:color w:val="auto"/>
        </w:rPr>
      </w:pPr>
      <w:r>
        <w:rPr>
          <w:color w:val="auto"/>
        </w:rPr>
        <w:t xml:space="preserve">3.1 </w:t>
      </w:r>
      <w:r>
        <w:rPr>
          <w:rFonts w:hint="eastAsia"/>
          <w:color w:val="auto"/>
        </w:rPr>
        <w:t>蚌埠管理处</w:t>
      </w:r>
      <w:r>
        <w:rPr>
          <w:color w:val="auto"/>
        </w:rPr>
        <w:t>——</w:t>
      </w:r>
      <w:r>
        <w:rPr>
          <w:rFonts w:hint="eastAsia"/>
          <w:color w:val="auto"/>
        </w:rPr>
        <w:t>蚌埠处机关及蚌埠收费站</w:t>
      </w:r>
    </w:p>
    <w:p>
      <w:pPr>
        <w:pStyle w:val="296"/>
        <w:ind w:left="1007" w:leftChars="250" w:hanging="482" w:hangingChars="200"/>
        <w:rPr>
          <w:rFonts w:ascii="Times New Roman" w:hAnsi="Times New Roman" w:cs="Times New Roman"/>
          <w:color w:val="auto"/>
          <w:highlight w:val="none"/>
        </w:rPr>
      </w:pPr>
      <w:bookmarkStart w:id="5" w:name="_Hlk85726506"/>
      <w:r>
        <w:rPr>
          <w:rFonts w:ascii="Times New Roman" w:hAnsi="Times New Roman" w:cs="Times New Roman"/>
          <w:color w:val="auto"/>
          <w:highlight w:val="none"/>
        </w:rPr>
        <w:t>3.1.1 污水方案概况</w:t>
      </w:r>
    </w:p>
    <w:p>
      <w:pPr>
        <w:pStyle w:val="296"/>
        <w:ind w:left="1007" w:leftChars="250" w:hanging="482" w:hangingChars="200"/>
        <w:rPr>
          <w:rFonts w:ascii="Times New Roman" w:hAnsi="Times New Roman" w:cs="Times New Roman"/>
          <w:color w:val="auto"/>
          <w:highlight w:val="none"/>
        </w:rPr>
      </w:pPr>
      <w:r>
        <w:rPr>
          <w:rFonts w:ascii="Times New Roman" w:hAnsi="Times New Roman" w:cs="Times New Roman"/>
          <w:color w:val="auto"/>
          <w:highlight w:val="none"/>
        </w:rPr>
        <w:t xml:space="preserve">3.1.2 </w:t>
      </w:r>
      <w:r>
        <w:rPr>
          <w:rFonts w:hint="eastAsia" w:ascii="Times New Roman" w:hAnsi="Times New Roman" w:cs="Times New Roman"/>
          <w:color w:val="auto"/>
          <w:highlight w:val="none"/>
        </w:rPr>
        <w:t>园区</w:t>
      </w:r>
      <w:r>
        <w:rPr>
          <w:rFonts w:ascii="Times New Roman" w:hAnsi="Times New Roman" w:cs="Times New Roman"/>
          <w:color w:val="auto"/>
          <w:highlight w:val="none"/>
        </w:rPr>
        <w:t>现状调查</w:t>
      </w:r>
    </w:p>
    <w:p>
      <w:pPr>
        <w:tabs>
          <w:tab w:val="left" w:pos="525"/>
        </w:tabs>
        <w:adjustRightInd w:val="0"/>
        <w:snapToGrid w:val="0"/>
        <w:spacing w:line="360" w:lineRule="auto"/>
        <w:ind w:left="55" w:leftChars="26" w:firstLine="463" w:firstLineChars="192"/>
        <w:rPr>
          <w:rFonts w:hint="eastAsia" w:eastAsia="仿宋_GB2312"/>
          <w:b/>
          <w:bCs/>
          <w:color w:val="auto"/>
          <w:sz w:val="24"/>
          <w:highlight w:val="none"/>
        </w:rPr>
      </w:pPr>
      <w:r>
        <w:rPr>
          <w:rFonts w:hint="eastAsia" w:eastAsia="仿宋_GB2312"/>
          <w:b/>
          <w:bCs/>
          <w:color w:val="auto"/>
          <w:sz w:val="24"/>
          <w:highlight w:val="none"/>
        </w:rPr>
        <w:t>（1）现状排水系统调查</w:t>
      </w:r>
    </w:p>
    <w:p>
      <w:pPr>
        <w:numPr>
          <w:ilvl w:val="0"/>
          <w:numId w:val="11"/>
        </w:numPr>
        <w:tabs>
          <w:tab w:val="left" w:pos="525"/>
        </w:tabs>
        <w:adjustRightInd w:val="0"/>
        <w:snapToGrid w:val="0"/>
        <w:spacing w:line="360" w:lineRule="auto"/>
        <w:ind w:left="55" w:leftChars="26" w:firstLine="463" w:firstLineChars="192"/>
        <w:rPr>
          <w:rFonts w:hint="eastAsia" w:eastAsia="仿宋_GB2312"/>
          <w:b/>
          <w:bCs/>
          <w:color w:val="auto"/>
          <w:sz w:val="24"/>
          <w:highlight w:val="none"/>
        </w:rPr>
      </w:pPr>
      <w:r>
        <w:rPr>
          <w:rFonts w:hint="eastAsia" w:eastAsia="仿宋_GB2312"/>
          <w:b/>
          <w:bCs/>
          <w:color w:val="auto"/>
          <w:sz w:val="24"/>
          <w:highlight w:val="none"/>
        </w:rPr>
        <w:t>现状污水系统存在问题</w:t>
      </w:r>
    </w:p>
    <w:p>
      <w:pPr>
        <w:pStyle w:val="296"/>
        <w:ind w:left="1007" w:leftChars="250" w:hanging="482" w:hangingChars="200"/>
        <w:rPr>
          <w:rFonts w:ascii="Times New Roman" w:hAnsi="Times New Roman" w:cs="Times New Roman"/>
          <w:color w:val="auto"/>
          <w:highlight w:val="none"/>
        </w:rPr>
      </w:pPr>
      <w:r>
        <w:rPr>
          <w:rFonts w:ascii="Times New Roman" w:hAnsi="Times New Roman" w:cs="Times New Roman"/>
          <w:color w:val="auto"/>
          <w:highlight w:val="none"/>
        </w:rPr>
        <w:t>3.1.3 设计方案</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（1）污水系统设计</w:t>
      </w:r>
    </w:p>
    <w:p>
      <w:pPr>
        <w:tabs>
          <w:tab w:val="left" w:pos="525"/>
        </w:tabs>
        <w:adjustRightInd w:val="0"/>
        <w:snapToGrid w:val="0"/>
        <w:spacing w:line="360" w:lineRule="auto"/>
        <w:ind w:left="55" w:leftChars="26" w:firstLine="403" w:firstLineChars="192"/>
        <w:jc w:val="center"/>
        <w:rPr>
          <w:color w:val="auto"/>
          <w:highlight w:val="none"/>
        </w:rPr>
      </w:pPr>
    </w:p>
    <w:p>
      <w:pPr>
        <w:numPr>
          <w:ilvl w:val="0"/>
          <w:numId w:val="11"/>
        </w:num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hint="eastAsia" w:eastAsia="仿宋_GB2312"/>
          <w:b/>
          <w:bCs/>
          <w:color w:val="auto"/>
          <w:sz w:val="24"/>
          <w:highlight w:val="none"/>
        </w:rPr>
        <w:t>污水调节池</w:t>
      </w:r>
      <w:r>
        <w:rPr>
          <w:rFonts w:eastAsia="仿宋_GB2312"/>
          <w:b/>
          <w:bCs/>
          <w:color w:val="auto"/>
          <w:sz w:val="24"/>
          <w:highlight w:val="none"/>
        </w:rPr>
        <w:t>设计</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格栅井放置于调节池中，格栅采用回转式格栅，宽度B</w:t>
      </w:r>
      <w:r>
        <w:rPr>
          <w:rFonts w:eastAsia="仿宋_GB2312"/>
          <w:color w:val="auto"/>
          <w:sz w:val="24"/>
          <w:highlight w:val="none"/>
        </w:rPr>
        <w:t>=800</w:t>
      </w:r>
      <w:r>
        <w:rPr>
          <w:rFonts w:hint="eastAsia" w:eastAsia="仿宋_GB2312"/>
          <w:color w:val="auto"/>
          <w:sz w:val="24"/>
          <w:highlight w:val="none"/>
        </w:rPr>
        <w:t>mm，功率P</w:t>
      </w:r>
      <w:r>
        <w:rPr>
          <w:rFonts w:eastAsia="仿宋_GB2312"/>
          <w:color w:val="auto"/>
          <w:sz w:val="24"/>
          <w:highlight w:val="none"/>
        </w:rPr>
        <w:t>=1.1</w:t>
      </w:r>
      <w:r>
        <w:rPr>
          <w:rFonts w:hint="eastAsia" w:eastAsia="仿宋_GB2312"/>
          <w:color w:val="auto"/>
          <w:sz w:val="24"/>
          <w:highlight w:val="none"/>
        </w:rPr>
        <w:t>k</w:t>
      </w:r>
      <w:r>
        <w:rPr>
          <w:rFonts w:eastAsia="仿宋_GB2312"/>
          <w:color w:val="auto"/>
          <w:sz w:val="24"/>
          <w:highlight w:val="none"/>
        </w:rPr>
        <w:t>W</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根据现场调查，本次设计调节规模按照现状污水处理设备</w:t>
      </w:r>
      <w:r>
        <w:rPr>
          <w:rFonts w:hint="eastAsia" w:eastAsia="仿宋_GB2312"/>
          <w:color w:val="auto"/>
          <w:sz w:val="24"/>
          <w:highlight w:val="none"/>
          <w:lang w:val="en-US" w:eastAsia="zh-CN"/>
        </w:rPr>
        <w:t>5</w:t>
      </w:r>
      <w:r>
        <w:rPr>
          <w:rFonts w:eastAsia="仿宋_GB2312"/>
          <w:color w:val="auto"/>
          <w:sz w:val="24"/>
          <w:highlight w:val="none"/>
        </w:rPr>
        <w:t>0</w:t>
      </w:r>
      <w:r>
        <w:rPr>
          <w:rFonts w:hint="eastAsia" w:eastAsia="仿宋_GB2312"/>
          <w:color w:val="auto"/>
          <w:sz w:val="24"/>
          <w:highlight w:val="none"/>
        </w:rPr>
        <w:t>m</w:t>
      </w:r>
      <w:r>
        <w:rPr>
          <w:rFonts w:eastAsia="仿宋_GB2312"/>
          <w:color w:val="auto"/>
          <w:sz w:val="24"/>
          <w:highlight w:val="none"/>
        </w:rPr>
        <w:t>3/d</w:t>
      </w:r>
      <w:r>
        <w:rPr>
          <w:rFonts w:hint="eastAsia" w:eastAsia="仿宋_GB2312"/>
          <w:color w:val="auto"/>
          <w:sz w:val="24"/>
          <w:highlight w:val="none"/>
        </w:rPr>
        <w:t>确定。污水调节池设计有效容积为5m</w:t>
      </w:r>
      <w:r>
        <w:rPr>
          <w:rFonts w:eastAsia="仿宋_GB2312"/>
          <w:color w:val="auto"/>
          <w:sz w:val="24"/>
          <w:highlight w:val="none"/>
          <w:vertAlign w:val="superscript"/>
        </w:rPr>
        <w:t>3</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调节池内设两台污水潜污泵，一用一备，单泵</w:t>
      </w:r>
      <w:r>
        <w:rPr>
          <w:rFonts w:eastAsia="仿宋_GB2312"/>
          <w:color w:val="auto"/>
          <w:sz w:val="24"/>
          <w:highlight w:val="none"/>
        </w:rPr>
        <w:t>单台水泵参数为Q=3m3/</w:t>
      </w:r>
      <w:r>
        <w:rPr>
          <w:rFonts w:hint="eastAsia" w:eastAsia="仿宋_GB2312"/>
          <w:color w:val="auto"/>
          <w:sz w:val="24"/>
          <w:highlight w:val="none"/>
        </w:rPr>
        <w:t>h</w:t>
      </w:r>
      <w:r>
        <w:rPr>
          <w:rFonts w:eastAsia="仿宋_GB2312"/>
          <w:color w:val="auto"/>
          <w:sz w:val="24"/>
          <w:highlight w:val="none"/>
        </w:rPr>
        <w:t>、H=9m、P=0.75kW。水泵运行曲线如下图</w:t>
      </w:r>
      <w:r>
        <w:rPr>
          <w:rFonts w:hint="eastAsia" w:eastAsia="仿宋_GB2312"/>
          <w:color w:val="auto"/>
          <w:sz w:val="24"/>
          <w:highlight w:val="none"/>
        </w:rPr>
        <w:t>1</w:t>
      </w:r>
      <w:r>
        <w:rPr>
          <w:rFonts w:eastAsia="仿宋_GB2312"/>
          <w:color w:val="auto"/>
          <w:sz w:val="24"/>
          <w:highlight w:val="none"/>
        </w:rPr>
        <w:t>：</w:t>
      </w:r>
    </w:p>
    <w:p>
      <w:pPr>
        <w:numPr>
          <w:ilvl w:val="0"/>
          <w:numId w:val="0"/>
        </w:numPr>
        <w:tabs>
          <w:tab w:val="left" w:pos="525"/>
        </w:tabs>
        <w:adjustRightInd w:val="0"/>
        <w:snapToGrid w:val="0"/>
        <w:spacing w:line="360" w:lineRule="auto"/>
        <w:ind w:leftChars="218"/>
        <w:rPr>
          <w:rFonts w:eastAsia="仿宋_GB2312"/>
          <w:b/>
          <w:bCs/>
          <w:color w:val="auto"/>
          <w:sz w:val="24"/>
          <w:highlight w:val="none"/>
        </w:rPr>
      </w:pPr>
      <w:r>
        <w:rPr>
          <w:color w:val="auto"/>
          <w:highlight w:val="none"/>
        </w:rPr>
        <w:drawing>
          <wp:inline distT="0" distB="0" distL="0" distR="0">
            <wp:extent cx="3810000" cy="38481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0"/>
                    <a:stretch>
                      <a:fillRect/>
                    </a:stretch>
                  </pic:blipFill>
                  <pic:spPr>
                    <a:xfrm>
                      <a:off x="0" y="0"/>
                      <a:ext cx="3810000" cy="3848100"/>
                    </a:xfrm>
                    <a:prstGeom prst="rect">
                      <a:avLst/>
                    </a:prstGeom>
                  </pic:spPr>
                </pic:pic>
              </a:graphicData>
            </a:graphic>
          </wp:inline>
        </w:drawing>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hint="eastAsia" w:eastAsia="仿宋_GB2312"/>
          <w:b/>
          <w:bCs/>
          <w:color w:val="auto"/>
          <w:sz w:val="24"/>
          <w:highlight w:val="none"/>
        </w:rPr>
        <w:t>（3）一体化处理设备设计（50t/d）</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1）进水水质</w:t>
      </w:r>
    </w:p>
    <w:p>
      <w:pPr>
        <w:adjustRightInd w:val="0"/>
        <w:snapToGrid w:val="0"/>
        <w:spacing w:line="360" w:lineRule="auto"/>
        <w:ind w:firstLine="480" w:firstLineChars="200"/>
        <w:rPr>
          <w:rFonts w:ascii="仿宋_GB2312" w:eastAsia="仿宋_GB2312"/>
          <w:color w:val="auto"/>
          <w:sz w:val="24"/>
          <w:highlight w:val="none"/>
        </w:rPr>
      </w:pPr>
      <w:r>
        <w:rPr>
          <w:rFonts w:hint="eastAsia" w:ascii="仿宋_GB2312" w:eastAsia="仿宋_GB2312"/>
          <w:color w:val="auto"/>
          <w:sz w:val="24"/>
          <w:highlight w:val="none"/>
        </w:rPr>
        <w:t>一体化水处理设备生活污水进水浓度要求如下表：</w:t>
      </w:r>
    </w:p>
    <w:tbl>
      <w:tblPr>
        <w:tblStyle w:val="46"/>
        <w:tblW w:w="8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95"/>
        <w:gridCol w:w="1160"/>
        <w:gridCol w:w="1161"/>
        <w:gridCol w:w="1161"/>
        <w:gridCol w:w="1132"/>
        <w:gridCol w:w="1190"/>
        <w:gridCol w:w="1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73" w:hRule="exact"/>
          <w:jc w:val="center"/>
        </w:trPr>
        <w:tc>
          <w:tcPr>
            <w:tcW w:w="1495"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进水项目</w:t>
            </w:r>
          </w:p>
        </w:tc>
        <w:tc>
          <w:tcPr>
            <w:tcW w:w="1160"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CODCr</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BOD5</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SS</w:t>
            </w:r>
          </w:p>
        </w:tc>
        <w:tc>
          <w:tcPr>
            <w:tcW w:w="1132"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TP</w:t>
            </w:r>
          </w:p>
        </w:tc>
        <w:tc>
          <w:tcPr>
            <w:tcW w:w="1190"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NH3-N</w:t>
            </w:r>
          </w:p>
        </w:tc>
        <w:tc>
          <w:tcPr>
            <w:tcW w:w="1161"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27" w:hRule="exact"/>
          <w:jc w:val="center"/>
        </w:trPr>
        <w:tc>
          <w:tcPr>
            <w:tcW w:w="1495"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水质参数值（mg/L）</w:t>
            </w:r>
          </w:p>
        </w:tc>
        <w:tc>
          <w:tcPr>
            <w:tcW w:w="1160"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≤400</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≤200</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≤200</w:t>
            </w:r>
          </w:p>
        </w:tc>
        <w:tc>
          <w:tcPr>
            <w:tcW w:w="1132"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≤4</w:t>
            </w:r>
          </w:p>
        </w:tc>
        <w:tc>
          <w:tcPr>
            <w:tcW w:w="1190"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≤35</w:t>
            </w:r>
          </w:p>
        </w:tc>
        <w:tc>
          <w:tcPr>
            <w:tcW w:w="1161" w:type="dxa"/>
            <w:shd w:val="clear" w:color="auto" w:fill="FFFFFF"/>
            <w:vAlign w:val="center"/>
          </w:tcPr>
          <w:p>
            <w:pPr>
              <w:tabs>
                <w:tab w:val="left" w:pos="525"/>
              </w:tabs>
              <w:adjustRightInd w:val="0"/>
              <w:snapToGrid w:val="0"/>
              <w:jc w:val="center"/>
              <w:rPr>
                <w:rFonts w:ascii="仿宋_GB2312" w:eastAsia="仿宋_GB2312"/>
                <w:color w:val="auto"/>
                <w:szCs w:val="21"/>
                <w:highlight w:val="none"/>
              </w:rPr>
            </w:pPr>
            <w:r>
              <w:rPr>
                <w:rFonts w:hint="eastAsia" w:ascii="仿宋_GB2312" w:eastAsia="仿宋_GB2312"/>
                <w:color w:val="auto"/>
                <w:szCs w:val="21"/>
                <w:highlight w:val="none"/>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exact"/>
          <w:jc w:val="center"/>
        </w:trPr>
        <w:tc>
          <w:tcPr>
            <w:tcW w:w="8460" w:type="dxa"/>
            <w:gridSpan w:val="7"/>
            <w:shd w:val="clear" w:color="auto" w:fill="FFFFFF"/>
            <w:vAlign w:val="center"/>
          </w:tcPr>
          <w:p>
            <w:pPr>
              <w:tabs>
                <w:tab w:val="left" w:pos="525"/>
              </w:tabs>
              <w:adjustRightInd w:val="0"/>
              <w:snapToGrid w:val="0"/>
              <w:spacing w:line="360" w:lineRule="auto"/>
              <w:jc w:val="center"/>
              <w:rPr>
                <w:rFonts w:ascii="仿宋_GB2312" w:eastAsia="仿宋_GB2312"/>
                <w:color w:val="auto"/>
                <w:szCs w:val="21"/>
                <w:highlight w:val="none"/>
              </w:rPr>
            </w:pPr>
            <w:r>
              <w:rPr>
                <w:rFonts w:hint="eastAsia" w:ascii="仿宋_GB2312" w:eastAsia="仿宋_GB2312"/>
                <w:color w:val="auto"/>
                <w:szCs w:val="21"/>
                <w:highlight w:val="none"/>
              </w:rPr>
              <w:t>进水水质满足上表要求且符合BOD5/COD≥0.35， BOD5/TN≥4，BOD5/TP≥20</w:t>
            </w:r>
          </w:p>
        </w:tc>
      </w:tr>
    </w:tbl>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hint="eastAsia" w:eastAsia="仿宋_GB2312"/>
          <w:b/>
          <w:bCs/>
          <w:color w:val="auto"/>
          <w:sz w:val="24"/>
          <w:highlight w:val="none"/>
        </w:rPr>
        <w:t>2）出水水质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一体化污水处理设备排放标准执行《城镇污水处理厂污染物排放标准》（GB18918－2002）一级 A类标准，具体出水水质指标如下表所示：</w:t>
      </w:r>
    </w:p>
    <w:tbl>
      <w:tblPr>
        <w:tblStyle w:val="46"/>
        <w:tblW w:w="84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9"/>
        <w:gridCol w:w="1134"/>
        <w:gridCol w:w="1134"/>
        <w:gridCol w:w="1134"/>
        <w:gridCol w:w="1134"/>
        <w:gridCol w:w="1276"/>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92" w:hRule="atLeast"/>
          <w:jc w:val="center"/>
        </w:trPr>
        <w:tc>
          <w:tcPr>
            <w:tcW w:w="1509"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出水项目</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CODCr</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BOD5</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SS</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TP</w:t>
            </w:r>
          </w:p>
        </w:tc>
        <w:tc>
          <w:tcPr>
            <w:tcW w:w="1276"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NH3-N</w:t>
            </w:r>
          </w:p>
        </w:tc>
        <w:tc>
          <w:tcPr>
            <w:tcW w:w="1167"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1" w:hRule="atLeast"/>
          <w:jc w:val="center"/>
        </w:trPr>
        <w:tc>
          <w:tcPr>
            <w:tcW w:w="1509"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一级A排放标准</w:t>
            </w:r>
            <w:r>
              <w:rPr>
                <w:rFonts w:hint="eastAsia" w:eastAsia="仿宋_GB2312"/>
                <w:color w:val="auto"/>
                <w:szCs w:val="21"/>
                <w:highlight w:val="none"/>
              </w:rPr>
              <w:t>（</w:t>
            </w:r>
            <w:r>
              <w:rPr>
                <w:rFonts w:eastAsia="仿宋_GB2312"/>
                <w:color w:val="auto"/>
                <w:szCs w:val="21"/>
                <w:highlight w:val="none"/>
              </w:rPr>
              <w:t>mg/L</w:t>
            </w:r>
            <w:r>
              <w:rPr>
                <w:rFonts w:hint="eastAsia" w:eastAsia="仿宋_GB2312"/>
                <w:color w:val="auto"/>
                <w:szCs w:val="21"/>
                <w:highlight w:val="none"/>
              </w:rPr>
              <w:t>）</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≤50</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≤10</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≤10</w:t>
            </w:r>
          </w:p>
        </w:tc>
        <w:tc>
          <w:tcPr>
            <w:tcW w:w="1134"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≤0.5</w:t>
            </w:r>
          </w:p>
        </w:tc>
        <w:tc>
          <w:tcPr>
            <w:tcW w:w="1276"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≤5（8）</w:t>
            </w:r>
          </w:p>
        </w:tc>
        <w:tc>
          <w:tcPr>
            <w:tcW w:w="1167" w:type="dxa"/>
            <w:vAlign w:val="center"/>
          </w:tcPr>
          <w:p>
            <w:pPr>
              <w:tabs>
                <w:tab w:val="left" w:pos="525"/>
              </w:tabs>
              <w:adjustRightInd w:val="0"/>
              <w:snapToGrid w:val="0"/>
              <w:spacing w:line="360" w:lineRule="auto"/>
              <w:rPr>
                <w:rFonts w:eastAsia="仿宋_GB2312"/>
                <w:color w:val="auto"/>
                <w:szCs w:val="21"/>
                <w:highlight w:val="none"/>
              </w:rPr>
            </w:pPr>
            <w:r>
              <w:rPr>
                <w:rFonts w:eastAsia="仿宋_GB2312"/>
                <w:color w:val="auto"/>
                <w:szCs w:val="21"/>
                <w:highlight w:val="none"/>
              </w:rPr>
              <w:t>15</w:t>
            </w:r>
          </w:p>
        </w:tc>
      </w:tr>
    </w:tbl>
    <w:p>
      <w:pPr>
        <w:tabs>
          <w:tab w:val="left" w:pos="525"/>
        </w:tabs>
        <w:adjustRightInd w:val="0"/>
        <w:snapToGrid w:val="0"/>
        <w:spacing w:line="360" w:lineRule="auto"/>
        <w:ind w:left="55" w:leftChars="26" w:firstLine="460" w:firstLineChars="192"/>
        <w:rPr>
          <w:color w:val="auto"/>
          <w:sz w:val="24"/>
          <w:highlight w:val="none"/>
          <w:lang w:val="zh-CN"/>
        </w:rPr>
      </w:pPr>
      <w:r>
        <w:rPr>
          <w:rFonts w:eastAsia="仿宋_GB2312"/>
          <w:color w:val="auto"/>
          <w:sz w:val="24"/>
          <w:highlight w:val="none"/>
        </w:rPr>
        <w:t>注：括号外数值为水温＞12℃时的控制指标，括号内数值为水温≤12℃时的控制指标。</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3）处理工艺流程</w:t>
      </w:r>
    </w:p>
    <w:p>
      <w:pPr>
        <w:tabs>
          <w:tab w:val="left" w:pos="525"/>
        </w:tabs>
        <w:adjustRightInd w:val="0"/>
        <w:snapToGrid w:val="0"/>
        <w:spacing w:line="360" w:lineRule="auto"/>
        <w:ind w:left="55" w:leftChars="26" w:firstLine="463" w:firstLineChars="192"/>
        <w:rPr>
          <w:rFonts w:eastAsia="仿宋_GB2312"/>
          <w:color w:val="auto"/>
          <w:sz w:val="24"/>
          <w:highlight w:val="none"/>
        </w:rPr>
      </w:pPr>
      <w:r>
        <w:rPr>
          <w:rFonts w:hint="eastAsia" w:cs="宋体"/>
          <w:b/>
          <w:bCs/>
          <w:color w:val="auto"/>
          <w:sz w:val="24"/>
          <w:szCs w:val="24"/>
          <w:highlight w:val="none"/>
        </w:rPr>
        <w:drawing>
          <wp:inline distT="0" distB="0" distL="0" distR="0">
            <wp:extent cx="5347970" cy="2275205"/>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a:srcRect/>
                    <a:stretch>
                      <a:fillRect/>
                    </a:stretch>
                  </pic:blipFill>
                  <pic:spPr>
                    <a:xfrm>
                      <a:off x="0" y="0"/>
                      <a:ext cx="5350492" cy="2276338"/>
                    </a:xfrm>
                    <a:prstGeom prst="rect">
                      <a:avLst/>
                    </a:prstGeom>
                    <a:noFill/>
                    <a:ln w="9525">
                      <a:noFill/>
                      <a:miter lim="800000"/>
                      <a:headEnd/>
                      <a:tailEnd/>
                    </a:ln>
                  </pic:spPr>
                </pic:pic>
              </a:graphicData>
            </a:graphic>
          </wp:inline>
        </w:drawing>
      </w:r>
    </w:p>
    <w:p>
      <w:pPr>
        <w:spacing w:line="360" w:lineRule="auto"/>
        <w:jc w:val="center"/>
        <w:rPr>
          <w:rFonts w:eastAsia="仿宋_GB2312"/>
          <w:b/>
          <w:bCs/>
          <w:color w:val="auto"/>
          <w:sz w:val="24"/>
          <w:highlight w:val="none"/>
        </w:rPr>
      </w:pPr>
      <w:r>
        <w:rPr>
          <w:rFonts w:eastAsia="仿宋_GB2312"/>
          <w:b/>
          <w:bCs/>
          <w:color w:val="auto"/>
          <w:sz w:val="24"/>
          <w:highlight w:val="none"/>
        </w:rPr>
        <w:t>处理工艺流程图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上图虚线框线内为一体化污水处理设备的工艺流程</w:t>
      </w:r>
      <w:r>
        <w:rPr>
          <w:rFonts w:hint="eastAsia" w:eastAsia="仿宋_GB2312"/>
          <w:color w:val="auto"/>
          <w:sz w:val="24"/>
          <w:highlight w:val="none"/>
        </w:rPr>
        <w:t>，</w:t>
      </w:r>
      <w:r>
        <w:rPr>
          <w:rFonts w:eastAsia="仿宋_GB2312"/>
          <w:color w:val="auto"/>
          <w:sz w:val="24"/>
          <w:highlight w:val="none"/>
        </w:rPr>
        <w:t>采用</w:t>
      </w:r>
      <w:r>
        <w:rPr>
          <w:rFonts w:hint="eastAsia" w:eastAsia="仿宋_GB2312"/>
          <w:color w:val="auto"/>
          <w:sz w:val="24"/>
          <w:highlight w:val="none"/>
        </w:rPr>
        <w:t>“</w:t>
      </w:r>
      <w:r>
        <w:rPr>
          <w:rFonts w:eastAsia="仿宋_GB2312"/>
          <w:color w:val="auto"/>
          <w:sz w:val="24"/>
          <w:highlight w:val="none"/>
        </w:rPr>
        <w:t>A</w:t>
      </w:r>
      <w:r>
        <w:rPr>
          <w:rFonts w:eastAsia="仿宋_GB2312"/>
          <w:color w:val="auto"/>
          <w:sz w:val="24"/>
          <w:highlight w:val="none"/>
          <w:vertAlign w:val="superscript"/>
        </w:rPr>
        <w:t>3</w:t>
      </w:r>
      <w:r>
        <w:rPr>
          <w:rFonts w:eastAsia="仿宋_GB2312"/>
          <w:color w:val="auto"/>
          <w:sz w:val="24"/>
          <w:highlight w:val="none"/>
        </w:rPr>
        <w:t>/O</w:t>
      </w:r>
      <w:r>
        <w:rPr>
          <w:rFonts w:hint="eastAsia" w:eastAsia="仿宋_GB2312"/>
          <w:color w:val="auto"/>
          <w:sz w:val="24"/>
          <w:highlight w:val="none"/>
        </w:rPr>
        <w:t>-</w:t>
      </w:r>
      <w:r>
        <w:rPr>
          <w:rFonts w:eastAsia="仿宋_GB2312"/>
          <w:color w:val="auto"/>
          <w:sz w:val="24"/>
          <w:highlight w:val="none"/>
        </w:rPr>
        <w:t>MBBR</w:t>
      </w:r>
      <w:r>
        <w:rPr>
          <w:rFonts w:hint="eastAsia" w:eastAsia="仿宋_GB2312"/>
          <w:color w:val="auto"/>
          <w:sz w:val="24"/>
          <w:highlight w:val="none"/>
        </w:rPr>
        <w:t>+</w:t>
      </w:r>
      <w:r>
        <w:rPr>
          <w:rFonts w:eastAsia="仿宋_GB2312"/>
          <w:color w:val="auto"/>
          <w:sz w:val="24"/>
          <w:highlight w:val="none"/>
        </w:rPr>
        <w:t>过滤</w:t>
      </w:r>
      <w:r>
        <w:rPr>
          <w:rFonts w:hint="eastAsia" w:eastAsia="仿宋_GB2312"/>
          <w:color w:val="auto"/>
          <w:sz w:val="24"/>
          <w:highlight w:val="none"/>
        </w:rPr>
        <w:t>”工艺</w:t>
      </w:r>
      <w:r>
        <w:rPr>
          <w:rFonts w:eastAsia="仿宋_GB2312"/>
          <w:color w:val="auto"/>
          <w:sz w:val="24"/>
          <w:highlight w:val="none"/>
        </w:rPr>
        <w:t>，包括以下几个工艺单元：预脱硝区、厌氧区、缺氧区、好氧区、沉淀区、过滤区</w:t>
      </w:r>
      <w:r>
        <w:rPr>
          <w:rFonts w:hint="eastAsia" w:eastAsia="仿宋_GB2312"/>
          <w:color w:val="auto"/>
          <w:sz w:val="24"/>
          <w:highlight w:val="none"/>
        </w:rPr>
        <w:t>、</w:t>
      </w:r>
      <w:r>
        <w:rPr>
          <w:rFonts w:eastAsia="仿宋_GB2312"/>
          <w:color w:val="auto"/>
          <w:sz w:val="24"/>
          <w:highlight w:val="none"/>
        </w:rPr>
        <w:t>清水区和紫外消毒。</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生活污水进入一体化</w:t>
      </w:r>
      <w:r>
        <w:rPr>
          <w:rFonts w:eastAsia="仿宋_GB2312"/>
          <w:color w:val="auto"/>
          <w:sz w:val="24"/>
          <w:highlight w:val="none"/>
        </w:rPr>
        <w:t>污水处理设备</w:t>
      </w:r>
      <w:r>
        <w:rPr>
          <w:rFonts w:hint="eastAsia" w:eastAsia="仿宋_GB2312"/>
          <w:color w:val="auto"/>
          <w:sz w:val="24"/>
          <w:highlight w:val="none"/>
        </w:rPr>
        <w:t>前须经</w:t>
      </w:r>
      <w:r>
        <w:rPr>
          <w:rFonts w:eastAsia="仿宋_GB2312"/>
          <w:color w:val="auto"/>
          <w:sz w:val="24"/>
          <w:highlight w:val="none"/>
        </w:rPr>
        <w:t>必要的预处理</w:t>
      </w:r>
      <w:r>
        <w:rPr>
          <w:rFonts w:hint="eastAsia" w:eastAsia="仿宋_GB2312"/>
          <w:color w:val="auto"/>
          <w:sz w:val="24"/>
          <w:highlight w:val="none"/>
        </w:rPr>
        <w:t>，</w:t>
      </w:r>
      <w:r>
        <w:rPr>
          <w:rFonts w:eastAsia="仿宋_GB2312"/>
          <w:color w:val="auto"/>
          <w:sz w:val="24"/>
          <w:highlight w:val="none"/>
        </w:rPr>
        <w:t>预处理包括格栅</w:t>
      </w:r>
      <w:r>
        <w:rPr>
          <w:rFonts w:hint="eastAsia" w:eastAsia="仿宋_GB2312"/>
          <w:color w:val="auto"/>
          <w:sz w:val="24"/>
          <w:highlight w:val="none"/>
        </w:rPr>
        <w:t>除</w:t>
      </w:r>
      <w:r>
        <w:rPr>
          <w:rFonts w:eastAsia="仿宋_GB2312"/>
          <w:color w:val="auto"/>
          <w:sz w:val="24"/>
          <w:highlight w:val="none"/>
        </w:rPr>
        <w:t>渣、调节池均质均量等。本项目</w:t>
      </w:r>
      <w:r>
        <w:rPr>
          <w:rFonts w:hint="eastAsia" w:eastAsia="仿宋_GB2312"/>
          <w:color w:val="auto"/>
          <w:sz w:val="24"/>
          <w:highlight w:val="none"/>
        </w:rPr>
        <w:t>原污水经</w:t>
      </w:r>
      <w:r>
        <w:rPr>
          <w:rFonts w:eastAsia="仿宋_GB2312"/>
          <w:color w:val="auto"/>
          <w:sz w:val="24"/>
          <w:highlight w:val="none"/>
        </w:rPr>
        <w:t>管网汇集后首先</w:t>
      </w:r>
      <w:r>
        <w:rPr>
          <w:rFonts w:hint="eastAsia" w:eastAsia="仿宋_GB2312"/>
          <w:color w:val="auto"/>
          <w:sz w:val="24"/>
          <w:highlight w:val="none"/>
        </w:rPr>
        <w:t>进入污水</w:t>
      </w:r>
      <w:r>
        <w:rPr>
          <w:rFonts w:eastAsia="仿宋_GB2312"/>
          <w:color w:val="auto"/>
          <w:sz w:val="24"/>
          <w:highlight w:val="none"/>
        </w:rPr>
        <w:t>格栅渠</w:t>
      </w:r>
      <w:r>
        <w:rPr>
          <w:rFonts w:hint="eastAsia" w:eastAsia="仿宋_GB2312"/>
          <w:color w:val="auto"/>
          <w:sz w:val="24"/>
          <w:highlight w:val="none"/>
        </w:rPr>
        <w:t>，</w:t>
      </w:r>
      <w:r>
        <w:rPr>
          <w:rFonts w:eastAsia="仿宋_GB2312"/>
          <w:color w:val="auto"/>
          <w:sz w:val="24"/>
          <w:highlight w:val="none"/>
        </w:rPr>
        <w:t>通过格栅去除污水中</w:t>
      </w:r>
      <w:r>
        <w:rPr>
          <w:rFonts w:hint="eastAsia" w:eastAsia="仿宋_GB2312"/>
          <w:color w:val="auto"/>
          <w:sz w:val="24"/>
          <w:highlight w:val="none"/>
        </w:rPr>
        <w:t>较大</w:t>
      </w:r>
      <w:r>
        <w:rPr>
          <w:rFonts w:eastAsia="仿宋_GB2312"/>
          <w:color w:val="auto"/>
          <w:sz w:val="24"/>
          <w:highlight w:val="none"/>
        </w:rPr>
        <w:t>的漂浮物</w:t>
      </w:r>
      <w:r>
        <w:rPr>
          <w:rFonts w:hint="eastAsia" w:eastAsia="仿宋_GB2312"/>
          <w:color w:val="auto"/>
          <w:sz w:val="24"/>
          <w:highlight w:val="none"/>
        </w:rPr>
        <w:t>，然后</w:t>
      </w:r>
      <w:r>
        <w:rPr>
          <w:rFonts w:eastAsia="仿宋_GB2312"/>
          <w:color w:val="auto"/>
          <w:sz w:val="24"/>
          <w:highlight w:val="none"/>
        </w:rPr>
        <w:t>流</w:t>
      </w:r>
      <w:r>
        <w:rPr>
          <w:rFonts w:hint="eastAsia" w:eastAsia="仿宋_GB2312"/>
          <w:color w:val="auto"/>
          <w:sz w:val="24"/>
          <w:highlight w:val="none"/>
        </w:rPr>
        <w:t>至</w:t>
      </w:r>
      <w:r>
        <w:rPr>
          <w:rFonts w:eastAsia="仿宋_GB2312"/>
          <w:color w:val="auto"/>
          <w:sz w:val="24"/>
          <w:highlight w:val="none"/>
        </w:rPr>
        <w:t>调节池</w:t>
      </w:r>
      <w:r>
        <w:rPr>
          <w:rFonts w:hint="eastAsia" w:eastAsia="仿宋_GB2312"/>
          <w:color w:val="auto"/>
          <w:sz w:val="24"/>
          <w:highlight w:val="none"/>
        </w:rPr>
        <w:t>，</w:t>
      </w:r>
      <w:r>
        <w:rPr>
          <w:rFonts w:eastAsia="仿宋_GB2312"/>
          <w:color w:val="auto"/>
          <w:sz w:val="24"/>
          <w:highlight w:val="none"/>
        </w:rPr>
        <w:t>调节污水的水质、水量。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调节池</w:t>
      </w:r>
      <w:r>
        <w:rPr>
          <w:rFonts w:eastAsia="仿宋_GB2312"/>
          <w:color w:val="auto"/>
          <w:sz w:val="24"/>
          <w:highlight w:val="none"/>
        </w:rPr>
        <w:t>中的生活污水</w:t>
      </w:r>
      <w:r>
        <w:rPr>
          <w:rFonts w:hint="eastAsia" w:eastAsia="仿宋_GB2312"/>
          <w:color w:val="auto"/>
          <w:sz w:val="24"/>
          <w:highlight w:val="none"/>
        </w:rPr>
        <w:t>用</w:t>
      </w:r>
      <w:r>
        <w:rPr>
          <w:rFonts w:eastAsia="仿宋_GB2312"/>
          <w:color w:val="auto"/>
          <w:sz w:val="24"/>
          <w:highlight w:val="none"/>
        </w:rPr>
        <w:t>提升泵泵入一体化污水处理设备</w:t>
      </w:r>
      <w:r>
        <w:rPr>
          <w:rFonts w:hint="eastAsia" w:eastAsia="仿宋_GB2312"/>
          <w:color w:val="auto"/>
          <w:sz w:val="24"/>
          <w:highlight w:val="none"/>
        </w:rPr>
        <w:t>，首先进入</w:t>
      </w:r>
      <w:r>
        <w:rPr>
          <w:rFonts w:eastAsia="仿宋_GB2312"/>
          <w:color w:val="auto"/>
          <w:sz w:val="24"/>
          <w:highlight w:val="none"/>
        </w:rPr>
        <w:t>预脱硝区</w:t>
      </w:r>
      <w:r>
        <w:rPr>
          <w:rFonts w:hint="eastAsia" w:eastAsia="仿宋_GB2312"/>
          <w:color w:val="auto"/>
          <w:sz w:val="24"/>
          <w:highlight w:val="none"/>
        </w:rPr>
        <w:t>，其作用在于接收来自前端的污水（即原水）和沉淀区的回流污泥，在缺氧条件下预脱硝区充分去除回流污泥中的硝酸盐和氧，营造了厌氧区的严格厌氧环境，强化聚磷菌厌氧释磷的效果。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在预脱硝区反硝化后的含污泥混合液，进入厌氧区进行生物释磷反应；在严格厌氧环境下，聚磷菌释放磷的效率大大提高，确保其在好氧区的吸磷效率得到充分提升。</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经过厌氧区释磷后的含污泥混合液，进入缺氧区与从好氧区回流至缺氧区的硝化液进行反硝化反应；反硝化细菌在溶解氧浓度极低的情况下利用硝酸盐作为电子受体，将硝酸盐还原成氮气并排出系统，从而实现污水的脱氮过程。同时反硝化反应提供的部分碱度，补充了后续的好氧区硝化反应所需的碱度。</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在缺氧区反硝化后的含污泥混合液，进入好氧区利用附着在流化的软性生物量递增海绵体填料上的种类繁多、生物体量大的硝化菌在溶解氧的作用下使氨氮得到彻底硝化，转换成硝酸盐氮；同时部分硝化液从好氧区回流至缺氧区，控制硝化液的回流比，提高反硝化去除效果。聚磷菌分解贮存在细胞内的PHA（聚羟基烷酸），完成摄磷，形成高浓度的含磷污泥。由此，好氧区主要实现了剩余有机物的降解、氨氮的硝化和过量摄磷的功能。</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经过好氧区后的含污泥混合液，进入沉淀区沉淀并分离出上清液和污泥，其中，上清液进入过滤区进一步过滤去除了沉淀之后的SS，同时利用填料上微生物可进一步降解残余的有机物、总磷等污染物。部分污泥从沉淀区回流至预脱硝区，维持系统的活性污泥浓度，剩余污泥外排至</w:t>
      </w:r>
      <w:r>
        <w:rPr>
          <w:rFonts w:eastAsia="仿宋_GB2312"/>
          <w:color w:val="auto"/>
          <w:sz w:val="24"/>
          <w:highlight w:val="none"/>
        </w:rPr>
        <w:t>污泥池</w:t>
      </w:r>
      <w:r>
        <w:rPr>
          <w:rFonts w:hint="eastAsia" w:eastAsia="仿宋_GB2312"/>
          <w:color w:val="auto"/>
          <w:sz w:val="24"/>
          <w:highlight w:val="none"/>
        </w:rPr>
        <w:t>，实现生物除磷效果。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软性固定填料质量轻、亲水性好，反冲洗随水流化，不易形成死区，并固定在填料挡层板中，普通穿孔曝气过程能使填料充分搅拌，软性填料通过气体的挤压，以及填料之间的碰撞，完成了泥水混合物与填料的分离（清洗），具有能耗低的特点。软性固定填料有着极好的生物亲和性，其墙体构造提供巨大的表面积，吸附SS能力强。过滤后的清水进入清水区，经紫外消毒后达标排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沉淀区产生</w:t>
      </w:r>
      <w:r>
        <w:rPr>
          <w:rFonts w:eastAsia="仿宋_GB2312"/>
          <w:color w:val="auto"/>
          <w:sz w:val="24"/>
          <w:highlight w:val="none"/>
        </w:rPr>
        <w:t>的剩余污泥</w:t>
      </w:r>
      <w:r>
        <w:rPr>
          <w:rFonts w:hint="eastAsia" w:eastAsia="仿宋_GB2312"/>
          <w:color w:val="auto"/>
          <w:sz w:val="24"/>
          <w:highlight w:val="none"/>
        </w:rPr>
        <w:t>定期</w:t>
      </w:r>
      <w:r>
        <w:rPr>
          <w:rFonts w:eastAsia="仿宋_GB2312"/>
          <w:color w:val="auto"/>
          <w:sz w:val="24"/>
          <w:highlight w:val="none"/>
        </w:rPr>
        <w:t>排至外部污泥池，沉淀池</w:t>
      </w:r>
      <w:r>
        <w:rPr>
          <w:rFonts w:hint="eastAsia" w:eastAsia="仿宋_GB2312"/>
          <w:color w:val="auto"/>
          <w:sz w:val="24"/>
          <w:highlight w:val="none"/>
        </w:rPr>
        <w:t>上部</w:t>
      </w:r>
      <w:r>
        <w:rPr>
          <w:rFonts w:eastAsia="仿宋_GB2312"/>
          <w:color w:val="auto"/>
          <w:sz w:val="24"/>
          <w:highlight w:val="none"/>
        </w:rPr>
        <w:t>浮渣</w:t>
      </w:r>
      <w:r>
        <w:rPr>
          <w:rFonts w:hint="eastAsia" w:eastAsia="仿宋_GB2312"/>
          <w:color w:val="auto"/>
          <w:sz w:val="24"/>
          <w:highlight w:val="none"/>
        </w:rPr>
        <w:t>由撇渣装置定期撇渣</w:t>
      </w:r>
      <w:r>
        <w:rPr>
          <w:rFonts w:eastAsia="仿宋_GB2312"/>
          <w:color w:val="auto"/>
          <w:sz w:val="24"/>
          <w:highlight w:val="none"/>
        </w:rPr>
        <w:t>，外排至设备前端的</w:t>
      </w:r>
      <w:r>
        <w:rPr>
          <w:rFonts w:hint="eastAsia" w:eastAsia="仿宋_GB2312"/>
          <w:color w:val="auto"/>
          <w:sz w:val="24"/>
          <w:highlight w:val="none"/>
        </w:rPr>
        <w:t>调节池</w:t>
      </w:r>
      <w:r>
        <w:rPr>
          <w:rFonts w:eastAsia="仿宋_GB2312"/>
          <w:color w:val="auto"/>
          <w:sz w:val="24"/>
          <w:highlight w:val="none"/>
        </w:rPr>
        <w:t>；</w:t>
      </w:r>
      <w:r>
        <w:rPr>
          <w:rFonts w:hint="eastAsia" w:eastAsia="仿宋_GB2312"/>
          <w:color w:val="auto"/>
          <w:sz w:val="24"/>
          <w:highlight w:val="none"/>
        </w:rPr>
        <w:t>过滤区定期</w:t>
      </w:r>
      <w:r>
        <w:rPr>
          <w:rFonts w:eastAsia="仿宋_GB2312"/>
          <w:color w:val="auto"/>
          <w:sz w:val="24"/>
          <w:highlight w:val="none"/>
        </w:rPr>
        <w:t>气水联合</w:t>
      </w:r>
      <w:r>
        <w:rPr>
          <w:rFonts w:hint="eastAsia" w:eastAsia="仿宋_GB2312"/>
          <w:color w:val="auto"/>
          <w:sz w:val="24"/>
          <w:highlight w:val="none"/>
        </w:rPr>
        <w:t>双重</w:t>
      </w:r>
      <w:r>
        <w:rPr>
          <w:rFonts w:eastAsia="仿宋_GB2312"/>
          <w:color w:val="auto"/>
          <w:sz w:val="24"/>
          <w:highlight w:val="none"/>
        </w:rPr>
        <w:t>反冲洗，</w:t>
      </w:r>
      <w:r>
        <w:rPr>
          <w:rFonts w:hint="eastAsia" w:eastAsia="仿宋_GB2312"/>
          <w:color w:val="auto"/>
          <w:sz w:val="24"/>
          <w:highlight w:val="none"/>
        </w:rPr>
        <w:t>反洗产水排入设备</w:t>
      </w:r>
      <w:r>
        <w:rPr>
          <w:rFonts w:eastAsia="仿宋_GB2312"/>
          <w:color w:val="auto"/>
          <w:sz w:val="24"/>
          <w:highlight w:val="none"/>
        </w:rPr>
        <w:t>前端的调节池</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此外，一体化设备配置碳源加药装置和PAC除磷装置，可根据进水水质调节加药量。</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4）</w:t>
      </w:r>
      <w:r>
        <w:rPr>
          <w:rFonts w:hint="eastAsia" w:eastAsia="仿宋_GB2312"/>
          <w:b/>
          <w:bCs/>
          <w:color w:val="auto"/>
          <w:sz w:val="24"/>
          <w:highlight w:val="none"/>
        </w:rPr>
        <w:t>一体化设备各功能区设计技术参数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本工程设计 1套污水处理一体化设备。一体化设备的设计水量为50 m</w:t>
      </w:r>
      <w:r>
        <w:rPr>
          <w:rFonts w:eastAsia="仿宋_GB2312"/>
          <w:color w:val="auto"/>
          <w:sz w:val="24"/>
          <w:highlight w:val="none"/>
          <w:vertAlign w:val="superscript"/>
        </w:rPr>
        <w:t>3</w:t>
      </w:r>
      <w:r>
        <w:rPr>
          <w:rFonts w:eastAsia="仿宋_GB2312"/>
          <w:color w:val="auto"/>
          <w:sz w:val="24"/>
          <w:highlight w:val="none"/>
        </w:rPr>
        <w:t>/d，包含</w:t>
      </w:r>
      <w:r>
        <w:rPr>
          <w:rFonts w:hint="eastAsia" w:eastAsia="仿宋_GB2312"/>
          <w:color w:val="auto"/>
          <w:sz w:val="24"/>
          <w:highlight w:val="none"/>
        </w:rPr>
        <w:t>预脱硝区、厌氧区、缺氧区、好氧区、沉淀区、过滤区、清水区和紫外消毒。</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设计流量： Q＝50m</w:t>
      </w:r>
      <w:r>
        <w:rPr>
          <w:rFonts w:eastAsia="仿宋_GB2312"/>
          <w:color w:val="auto"/>
          <w:sz w:val="24"/>
          <w:highlight w:val="none"/>
          <w:vertAlign w:val="superscript"/>
        </w:rPr>
        <w:t>3</w:t>
      </w:r>
      <w:r>
        <w:rPr>
          <w:rFonts w:eastAsia="仿宋_GB2312"/>
          <w:color w:val="auto"/>
          <w:sz w:val="24"/>
          <w:highlight w:val="none"/>
        </w:rPr>
        <w:t>/d</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功 能：生物除磷脱氮，同时降解有机污染物质，达到预期的处</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理目标，紫外消毒。</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设计参数：①预脱硝区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主要功能：营造厌氧区的严格厌氧环境，强化聚磷菌厌氧释磷的效果。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◇溶解氧浓度：0.2～0.5mg/L；</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②厌氧区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主要功能：与好氧区配合达到生物除磷效果。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◇溶解氧浓度：0.1～0.2mg/L；</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③缺氧区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主要功能：利用原水中有机物实现反硝化脱氮效果。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◇溶解氧浓度：0.2～0.5mg/L；</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④好氧区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主要功能：主要实现有机物降解、氨氮硝化和过量摄磷的效果。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溶解氧浓度：2.0～4.0mg/L；</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污泥浓度按5000～8000mg/L设计（包括流化填料上的污泥浓度）；</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悬浮填料：生物量递增海绵体填料；</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⑤沉淀区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主要功能：泥水分离，保证后续软性固定过滤区过滤效果。部分污泥通过气提方式回流至预脱硝区，维持整个系统的污泥浓度，剩余污泥向外排放，实现部分生物除磷效果。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 xml:space="preserve">◇表面负荷=0.6～1.2m3/m2·h。 </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⑥过滤区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主要功能：吸附SS以及降低其它部分有机污染物质。经软性固定填料过滤区过滤后的清水进入清水区，消毒后达标排放。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主要参数：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◇单位时间最大水流速≤3.2m/h。</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5）</w:t>
      </w:r>
      <w:r>
        <w:rPr>
          <w:rFonts w:hint="eastAsia" w:eastAsia="仿宋_GB2312"/>
          <w:b/>
          <w:bCs/>
          <w:color w:val="auto"/>
          <w:sz w:val="24"/>
          <w:highlight w:val="none"/>
        </w:rPr>
        <w:t>一体化设备其他工艺参数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①</w:t>
      </w:r>
      <w:r>
        <w:rPr>
          <w:rFonts w:eastAsia="仿宋_GB2312"/>
          <w:color w:val="auto"/>
          <w:sz w:val="24"/>
          <w:highlight w:val="none"/>
        </w:rPr>
        <w:t>生化停留时间</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预脱硝区不少于0.6h，厌氧区不少于1.0h，缺氧区不少于4h，好氧区不小于4.8h，总生化停留时间不小于10.4h。</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②</w:t>
      </w:r>
      <w:r>
        <w:rPr>
          <w:rFonts w:eastAsia="仿宋_GB2312"/>
          <w:color w:val="auto"/>
          <w:sz w:val="24"/>
          <w:highlight w:val="none"/>
        </w:rPr>
        <w:t>总泥龄5～15d。</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③</w:t>
      </w:r>
      <w:r>
        <w:rPr>
          <w:rFonts w:eastAsia="仿宋_GB2312"/>
          <w:color w:val="auto"/>
          <w:sz w:val="24"/>
          <w:highlight w:val="none"/>
        </w:rPr>
        <w:t>混合液浓度MLSS=5000～8000mg/L</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④</w:t>
      </w:r>
      <w:r>
        <w:rPr>
          <w:rFonts w:eastAsia="仿宋_GB2312"/>
          <w:color w:val="auto"/>
          <w:sz w:val="24"/>
          <w:highlight w:val="none"/>
        </w:rPr>
        <w:t>硝化液回流比100%～300%，污泥回流比50%～200%。</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⑤</w:t>
      </w:r>
      <w:r>
        <w:rPr>
          <w:rFonts w:eastAsia="仿宋_GB2312"/>
          <w:color w:val="auto"/>
          <w:sz w:val="24"/>
          <w:highlight w:val="none"/>
        </w:rPr>
        <w:t>BOD污泥负荷Fw=0.12～0.21kgBOD5/kgMLSS·d，BOD容积负荷Fw=0.78～1.37kgBOD5/m3·d</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⑥</w:t>
      </w:r>
      <w:r>
        <w:rPr>
          <w:rFonts w:eastAsia="仿宋_GB2312"/>
          <w:color w:val="auto"/>
          <w:sz w:val="24"/>
          <w:highlight w:val="none"/>
        </w:rPr>
        <w:t>气水比17:1</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⑦</w:t>
      </w:r>
      <w:r>
        <w:rPr>
          <w:rFonts w:eastAsia="仿宋_GB2312"/>
          <w:color w:val="auto"/>
          <w:sz w:val="24"/>
          <w:highlight w:val="none"/>
        </w:rPr>
        <w:t>沉淀池的表面水力负荷：0.6～</w:t>
      </w:r>
      <w:r>
        <w:rPr>
          <w:rFonts w:hint="eastAsia" w:eastAsia="仿宋_GB2312"/>
          <w:color w:val="auto"/>
          <w:sz w:val="24"/>
          <w:highlight w:val="none"/>
        </w:rPr>
        <w:t>1.2</w:t>
      </w:r>
      <w:r>
        <w:rPr>
          <w:rFonts w:eastAsia="仿宋_GB2312"/>
          <w:color w:val="auto"/>
          <w:sz w:val="24"/>
          <w:highlight w:val="none"/>
        </w:rPr>
        <w:t>m3/m2·h</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⑧</w:t>
      </w:r>
      <w:r>
        <w:rPr>
          <w:rFonts w:eastAsia="仿宋_GB2312"/>
          <w:color w:val="auto"/>
          <w:sz w:val="24"/>
          <w:highlight w:val="none"/>
        </w:rPr>
        <w:t>滤池的过滤速度：≤3.2m/h</w:t>
      </w:r>
      <w:r>
        <w:rPr>
          <w:rFonts w:hint="eastAsia" w:eastAsia="仿宋_GB2312"/>
          <w:color w:val="auto"/>
          <w:sz w:val="24"/>
          <w:highlight w:val="none"/>
        </w:rPr>
        <w:t>。</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6）总平面图布置</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符合</w:t>
      </w:r>
      <w:r>
        <w:rPr>
          <w:rFonts w:hint="eastAsia" w:eastAsia="仿宋_GB2312"/>
          <w:color w:val="auto"/>
          <w:sz w:val="24"/>
          <w:highlight w:val="none"/>
        </w:rPr>
        <w:t>收费站</w:t>
      </w:r>
      <w:r>
        <w:rPr>
          <w:rFonts w:eastAsia="仿宋_GB2312"/>
          <w:color w:val="auto"/>
          <w:sz w:val="24"/>
          <w:highlight w:val="none"/>
        </w:rPr>
        <w:t>内功能分区及布局和环境保护要求，充分利用现状绿地及公用设施；严格执行现行有关规范、规定和标准，在满足生产工艺流程的前提下，力求装置集中，管线短捷，物流顺畅，节省用地；功能分区明确，方便生产管理，同时兼顾工厂近远期的发展。具体详见体厂区“总平面布置图”，破坏的绿化采用草皮补植。</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7）剩余污泥处置</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本项目建成投产后，主要运输物料为污泥，利用现状污泥储存系统，定期采用吸粪车外运至指定污水处理厂脱水机房，所需运输车辆均依托社会运输车辆解决。</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8）供配电系统</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①</w:t>
      </w:r>
      <w:r>
        <w:rPr>
          <w:rFonts w:eastAsia="仿宋_GB2312"/>
          <w:color w:val="auto"/>
          <w:sz w:val="24"/>
          <w:highlight w:val="none"/>
        </w:rPr>
        <w:t>电力负荷、负荷性质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污水处理站规模为50m</w:t>
      </w:r>
      <w:r>
        <w:rPr>
          <w:rFonts w:eastAsia="仿宋_GB2312"/>
          <w:color w:val="auto"/>
          <w:sz w:val="24"/>
          <w:highlight w:val="none"/>
          <w:vertAlign w:val="superscript"/>
        </w:rPr>
        <w:t>3</w:t>
      </w:r>
      <w:r>
        <w:rPr>
          <w:rFonts w:eastAsia="仿宋_GB2312"/>
          <w:color w:val="auto"/>
          <w:sz w:val="24"/>
          <w:highlight w:val="none"/>
        </w:rPr>
        <w:t>/d，根据工艺专业提供的用电设备安装及工作容量，用需要系数法进行负荷计算。其结果如下：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装机功率：1.69kW，运行功率：0.96kW。</w:t>
      </w:r>
      <w:r>
        <w:rPr>
          <w:rFonts w:eastAsia="仿宋_GB2312"/>
          <w:color w:val="auto"/>
          <w:sz w:val="24"/>
          <w:highlight w:val="none"/>
        </w:rPr>
        <w:t>本工程建设规模为50m</w:t>
      </w:r>
      <w:r>
        <w:rPr>
          <w:rFonts w:eastAsia="仿宋_GB2312"/>
          <w:color w:val="auto"/>
          <w:sz w:val="24"/>
          <w:highlight w:val="none"/>
          <w:vertAlign w:val="superscript"/>
        </w:rPr>
        <w:t>3</w:t>
      </w:r>
      <w:r>
        <w:rPr>
          <w:rFonts w:eastAsia="仿宋_GB2312"/>
          <w:color w:val="auto"/>
          <w:sz w:val="24"/>
          <w:highlight w:val="none"/>
        </w:rPr>
        <w:t>/d，为IV 类污水处理工程，电力负荷为三级。</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②</w:t>
      </w:r>
      <w:r>
        <w:rPr>
          <w:rFonts w:eastAsia="仿宋_GB2312"/>
          <w:color w:val="auto"/>
          <w:sz w:val="24"/>
          <w:highlight w:val="none"/>
        </w:rPr>
        <w:t>供电电源</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本工程采用一路 0.4kV 电源供电，通过低压电缆埋地引入现场配电柜，电缆长度暂定为</w:t>
      </w:r>
      <w:r>
        <w:rPr>
          <w:rFonts w:hint="eastAsia" w:eastAsia="仿宋_GB2312"/>
          <w:color w:val="auto"/>
          <w:sz w:val="24"/>
          <w:highlight w:val="none"/>
          <w:lang w:val="en-US" w:eastAsia="zh-CN"/>
        </w:rPr>
        <w:t>0.15</w:t>
      </w:r>
      <w:r>
        <w:rPr>
          <w:rFonts w:eastAsia="仿宋_GB2312"/>
          <w:color w:val="auto"/>
          <w:sz w:val="24"/>
          <w:highlight w:val="none"/>
        </w:rPr>
        <w:t>km。</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③</w:t>
      </w:r>
      <w:r>
        <w:rPr>
          <w:rFonts w:eastAsia="仿宋_GB2312"/>
          <w:color w:val="auto"/>
          <w:sz w:val="24"/>
          <w:highlight w:val="none"/>
        </w:rPr>
        <w:t>供电电压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低压配电电压采用380V，低压配电的控制电压为AC220V，照明电压为AC220V。</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④</w:t>
      </w:r>
      <w:r>
        <w:rPr>
          <w:rFonts w:eastAsia="仿宋_GB2312"/>
          <w:color w:val="auto"/>
          <w:sz w:val="24"/>
          <w:highlight w:val="none"/>
        </w:rPr>
        <w:t>主要设备选型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低压配电柜（AP）内配备优质元器件，其元器件以模块化组合式为主，其互换性强，以便于器件的更换及整定值的调整。柜内主要电气元件采用国产知名品牌。低压配电线路一般采用YJV-0.6/1kV 型电力电缆，控制电缆采用KVV-0.45/0.75kV 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电源回路方案为断路器，主控制回路采用断路器+接触器+热继电器的方案。</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⑤</w:t>
      </w:r>
      <w:r>
        <w:rPr>
          <w:rFonts w:eastAsia="仿宋_GB2312"/>
          <w:color w:val="auto"/>
          <w:sz w:val="24"/>
          <w:highlight w:val="none"/>
        </w:rPr>
        <w:t>传动及控制</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交流低压小容量电机采用断路器、接触器及热继电器进行起动及控制。</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低压配电柜（AP）设机旁－检修－集中开关，其中机旁状态用于调试或自控系统故障时维持生产，集中状态为主要生产操作方式。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控制项目为提升泵的连锁自动启停、一体化设备反冲洗的时序控制等。</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⑥</w:t>
      </w:r>
      <w:r>
        <w:rPr>
          <w:rFonts w:eastAsia="仿宋_GB2312"/>
          <w:color w:val="auto"/>
          <w:sz w:val="24"/>
          <w:highlight w:val="none"/>
        </w:rPr>
        <w:t>线路敷设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站区内室外配电线材采用沿电缆井、穿管相结合的敷设方式，在穿路及基础处穿钢管保护，一体化设备内采用电缆桥架与穿镀锌钢管明敷相结合的方式。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照明和插座分别配线采用穿管沿顶、沿墙暗敷。</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⑦</w:t>
      </w:r>
      <w:r>
        <w:rPr>
          <w:rFonts w:eastAsia="仿宋_GB2312"/>
          <w:color w:val="auto"/>
          <w:sz w:val="24"/>
          <w:highlight w:val="none"/>
        </w:rPr>
        <w:t>照明</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在加药间内采用荧光灯，门口采用吸顶节能灯。</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⑧</w:t>
      </w:r>
      <w:r>
        <w:rPr>
          <w:rFonts w:eastAsia="仿宋_GB2312"/>
          <w:color w:val="auto"/>
          <w:sz w:val="24"/>
          <w:highlight w:val="none"/>
        </w:rPr>
        <w:t>防雷接地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本工程预计年雷击次数为0.0172，站内建筑物达不到三类防雷标准，为安全考虑按第三类防雷建筑物设防。建筑物的防雷装置满足防直击雷及防闪电电涌侵入。</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由室外引入建筑物内的供电回路，采用防止过电压措施。</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电气设备的工作接地、保护接地采用TN-S 系统，接地电阻值小于1Ω，电气设备正常不带电的金属外壳,金属构架、管道等均应可靠接地。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⑨</w:t>
      </w:r>
      <w:r>
        <w:rPr>
          <w:rFonts w:eastAsia="仿宋_GB2312"/>
          <w:color w:val="auto"/>
          <w:sz w:val="24"/>
          <w:highlight w:val="none"/>
        </w:rPr>
        <w:t>防火安全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本设计执行“预防为主、消防结合”的消防原则及有关防火方面的规定，在电力设施设计中采用了一系列防范措施，以消除隐患，防止和减少火灾的危险, 确保人身安全及设备安全。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电气设备安装完成后，采用防火材料对电气孔洞进行封堵，并采取防火隔断措施，以防火灾蔓延。</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8）自控及仪表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①</w:t>
      </w:r>
      <w:r>
        <w:rPr>
          <w:rFonts w:eastAsia="仿宋_GB2312"/>
          <w:color w:val="auto"/>
          <w:sz w:val="24"/>
          <w:highlight w:val="none"/>
        </w:rPr>
        <w:t>设计依据</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《自动化仪表选型设计规定》 HG/T20507-2014</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《仪表供电设计规定》 HG/T20509-2014</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《信号报警、安全联锁系统设计规定》 HG/T20511-2014</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《仪表配管配线设计规定》 HG/T20512-2014</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《可编程控制器系统工程设计规定》 HG/T20700-2014</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《自动化仪表工程施工及质量验收规范》 GB50093-2013</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②</w:t>
      </w:r>
      <w:r>
        <w:rPr>
          <w:rFonts w:eastAsia="仿宋_GB2312"/>
          <w:color w:val="auto"/>
          <w:sz w:val="24"/>
          <w:highlight w:val="none"/>
        </w:rPr>
        <w:t>设计原则</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根据委托书和设计合同关于提高生产工艺过程的生产自动化水平的要求，以及工艺专业所提出的生产过程对检测和控制的要求，在充分吸收和考虑目前污水处理行业的自动化实践经验的基础上，确定自动化系统的设计原则为：</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●仪表稳定可靠，切实可行；</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●合理采用当今国内外自动化技术领域成熟的新技术及新成果；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●有利于稳定工艺生产过程，提高设备效率，提高产品质量和保证工艺过程的技术经济指标，降低能耗，提高劳动生产率；</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●仪表选型充分考虑智能化和信息传输网络的标准化，提高生产管理的自动化水平。</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③</w:t>
      </w:r>
      <w:r>
        <w:rPr>
          <w:rFonts w:eastAsia="仿宋_GB2312"/>
          <w:color w:val="auto"/>
          <w:sz w:val="24"/>
          <w:highlight w:val="none"/>
        </w:rPr>
        <w:t>控制系统方案</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本工程系统主要有现场 PLC 控制站、数据通讯系统、人机接口单元、电源等组成。系统具备开放的体系结构，可以提供多层开放数据接口。</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硬件系统在恶劣的工业现场具有高度的可靠性、维修方便、工艺先进。支持多种现场总线标准，以便适应未来的扩充需要。</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系统的参数、报警、自诊断及其他管理功能高度集中在显示器上显示，控制系统在功能和物理上真正分散。</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网络结构可靠性、开放性及先进性。在现场信号处理层，采用现场总线连接中央控制单元和各现场信号处理模块。</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系统包括对污水处理的过程实现过程监控和关键工艺参数的优化，主要对各工艺段设备状态的监测与安全连锁控制、过程参数和工艺参数监测。各工艺主要设备的状态和过程（工艺）参数在监控画面上一目了然。</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④</w:t>
      </w:r>
      <w:r>
        <w:rPr>
          <w:rFonts w:eastAsia="仿宋_GB2312"/>
          <w:color w:val="auto"/>
          <w:sz w:val="24"/>
          <w:highlight w:val="none"/>
        </w:rPr>
        <w:t>控制系统结构与配置设计</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根据工艺及流程配置设计，控制系统由3 个控制站，与一个主控制站组成。控制层提供了生产工艺数据采集、过程数据控制处理、生产设备信息采集与实时控制等功能，主要由PLC 站与HMI 组成。</w:t>
      </w:r>
      <w:bookmarkStart w:id="6" w:name="_Hlk101281686"/>
      <w:r>
        <w:rPr>
          <w:rFonts w:eastAsia="仿宋_GB2312"/>
          <w:color w:val="auto"/>
          <w:sz w:val="24"/>
          <w:highlight w:val="none"/>
        </w:rPr>
        <w:t>PLC 采用西门子</w:t>
      </w:r>
      <w:r>
        <w:rPr>
          <w:rFonts w:hint="eastAsia" w:eastAsia="仿宋_GB2312"/>
          <w:color w:val="auto"/>
          <w:sz w:val="24"/>
          <w:highlight w:val="none"/>
        </w:rPr>
        <w:t>、ABB、施耐德或同等品牌</w:t>
      </w:r>
      <w:r>
        <w:rPr>
          <w:rFonts w:eastAsia="仿宋_GB2312"/>
          <w:color w:val="auto"/>
          <w:sz w:val="24"/>
          <w:highlight w:val="none"/>
        </w:rPr>
        <w:t>系列PLC，HMI 采用计算机及触摸屏相结合的方式，上位机软件采用监控软件，触摸屏软件采用触摸屏厂家提供的编程软件平台。</w:t>
      </w:r>
      <w:bookmarkEnd w:id="6"/>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各站之间以及各站与主控制站之间，均采用PROFIBUS 或以太网通讯的方式进行数据传输及存储。控制站分别是：</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●一体化设备1 控制站；</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●PAC 加药系统控制柜；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●一体化设备外的公辅设备主控制站；</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具体详见自控拓扑图。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在一体化设备内PLC 柜设置10 寸触摸屏1 台，它们通过工业以太网络实现数据的交换和共享。整个控制系统网络设计时，充分考虑网络通讯的可靠性、稳定性和可扩展性。</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触摸屏具有自己的操作画面，对各自区域的工艺流程和电气设备分别进行监控，各站之间通过计算机网络进行信息交换与协调。</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⑤</w:t>
      </w:r>
      <w:r>
        <w:rPr>
          <w:rFonts w:eastAsia="仿宋_GB2312"/>
          <w:color w:val="auto"/>
          <w:sz w:val="24"/>
          <w:highlight w:val="none"/>
        </w:rPr>
        <w:t>控制系统功能设计</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污水处理站自动化控制系统在总体上设有两种相对独立、互为备用的控制方式，手动、自动操作模式：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●手动控制方式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该控制方式独立于计算机控制系统，操作人员可以在现场操作箱或触摸屏上对现场设备进行硬手动。在设备调试、设备检修及自控系统调试或维护的情况下，该控制方式能够确保满足现场的实际需要，以维持基本生产的需要。</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●自动控制方式</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操作员可以在触摸屏上远程对现场设备操作。在电气设备、仪器仪表运行正常的情况下，该控制方式可以使整个生产过程取得稳定运行的效果。</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⑥</w:t>
      </w:r>
      <w:r>
        <w:rPr>
          <w:rFonts w:eastAsia="仿宋_GB2312"/>
          <w:color w:val="auto"/>
          <w:sz w:val="24"/>
          <w:highlight w:val="none"/>
        </w:rPr>
        <w:t>主要仪表选型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检测仪表在满足工艺要求的前提下，优先选用国内知名品牌的性价比高的产品，主要检测仪表选型如下：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现状进水调节池或处理池后端设置液位开关1 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各仪表 4～20mA 的标准信号通过 PLC 上传至触摸屏，仪表原则上选用带现场显示型。</w:t>
      </w:r>
    </w:p>
    <w:p>
      <w:pPr>
        <w:pStyle w:val="296"/>
        <w:ind w:left="1007" w:leftChars="250" w:hanging="482" w:hangingChars="200"/>
        <w:rPr>
          <w:rFonts w:ascii="Times New Roman" w:hAnsi="Times New Roman" w:cs="Times New Roman"/>
          <w:color w:val="auto"/>
          <w:highlight w:val="none"/>
        </w:rPr>
      </w:pPr>
      <w:r>
        <w:rPr>
          <w:rFonts w:ascii="Times New Roman" w:hAnsi="Times New Roman" w:cs="Times New Roman"/>
          <w:color w:val="auto"/>
          <w:highlight w:val="none"/>
        </w:rPr>
        <w:t>3.</w:t>
      </w:r>
      <w:r>
        <w:rPr>
          <w:rFonts w:hint="eastAsia" w:ascii="Times New Roman" w:hAnsi="Times New Roman" w:cs="Times New Roman"/>
          <w:color w:val="auto"/>
          <w:highlight w:val="none"/>
        </w:rPr>
        <w:t>1</w:t>
      </w:r>
      <w:r>
        <w:rPr>
          <w:rFonts w:ascii="Times New Roman" w:hAnsi="Times New Roman" w:cs="Times New Roman"/>
          <w:color w:val="auto"/>
          <w:highlight w:val="none"/>
        </w:rPr>
        <w:t>.4 施工注意事项</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（1）施工图设计原则</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1）污水处理设备、仪表选用尽量立足于国内，以实用为主。</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2）污水厂总平面布置力求紧凑，不得突破现状</w:t>
      </w:r>
      <w:r>
        <w:rPr>
          <w:rFonts w:hint="eastAsia" w:eastAsia="仿宋_GB2312"/>
          <w:color w:val="auto"/>
          <w:sz w:val="24"/>
          <w:highlight w:val="none"/>
        </w:rPr>
        <w:t>收费站及园区</w:t>
      </w:r>
      <w:r>
        <w:rPr>
          <w:rFonts w:eastAsia="仿宋_GB2312"/>
          <w:color w:val="auto"/>
          <w:sz w:val="24"/>
          <w:highlight w:val="none"/>
        </w:rPr>
        <w:t>占地面积。</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3）对废物等进行妥善处理，避免二次污染。</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4）本工程污泥按原</w:t>
      </w:r>
      <w:r>
        <w:rPr>
          <w:rFonts w:hint="eastAsia" w:eastAsia="仿宋_GB2312"/>
          <w:color w:val="auto"/>
          <w:sz w:val="24"/>
          <w:highlight w:val="none"/>
        </w:rPr>
        <w:t>收费站及园区</w:t>
      </w:r>
      <w:r>
        <w:rPr>
          <w:rFonts w:eastAsia="仿宋_GB2312"/>
          <w:color w:val="auto"/>
          <w:sz w:val="24"/>
          <w:highlight w:val="none"/>
        </w:rPr>
        <w:t>处置方式统一处理。</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5）污水处理厂的环境保护和安全卫生均应严格执行国家和地方的有关规定。</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（2）施工要求</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1）施工前应核对与本次设计相关的地面和管网高程,如与设计不符，应及时与设计单位联系。同时，应做好与其他施工项目衔接，</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2）施工安装应严格按照施工图纸及现行有关规范、规定、标准图、设备安装要求，注意与总图、土建、电气、自动控制相应对照，如有疑问请及时与设计方联系，如发现设计图纸有错误或不合理时，应征得设计方同意后方可修改。</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3）工程中所有设备材料及仪表必须具有制造厂的合格证，并按有关规范进行检验，作出记录。</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4）施工安装时，施工单位和建设方应注意组织好施工组织、施工方法、安全措施等施工方案设计，确保工程施工质量。预埋件的水平度和平整度应符合《机械设备安装工程施工及验收通用规范》（GB50231-2009）的规定。</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5）本图出图时，设备尚未招标. 工程实施前，设备商应提供所有设备资料，校核基础留孔或预埋件准确无误后方可施工。</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 xml:space="preserve">6）管道安装完毕压力管道应按管道的不同用途分别进行管道水压试验，给水管道的工作压力为0.6MPa，工艺管道、污泥管道的工作压力为0.25MPa，排水管道应做闭水试验，水压试验与闭水试验的做法及结果应符合《给水排水管道工程施工及验收规范》（GB50268-2008）的规定。  </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7）管配件表内的数量及规格仅供承包商参考，承包商在订货之前必须对其进行复核.承包商可根据图中管线布置计算管道的具体数量，并需适当配置相应管段所需管配件。</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8）本图需与工艺总图和各单体构、建筑物的建筑、结构、电气自控施工设计图纸一并使用。工艺施工图主要反映工艺设计，有关构、建筑物的土建设计详见土建设计图。建构筑物预留洞、预埋套管等必须与相关专业图纸核对无误后方可施工，未经设计允许，不得随意在墙、板、梁、柱上开洞。若有偏差，请及时与设计院联系。</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9）本工程的主体生化段采用一体化污水处理设备，一体化污水处理设备为整体设备采购，采购的污水处理设备单体出水水质需满足设计要求。</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10）鼓风机、水泵均采用法兰连接管道，管道上的阀门和仪表应安装整齐，风机进出口管应用支架承重并固定,将进出管、阀门等荷载直接加在风机上，安装时严禁异物进入风机，风机应采取减震和消声措施。</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11）微孔曝气安装期间及安装完毕后现场严禁明火作业，应对管接头，卡箍、末端等部位仔细检查，然后清水试验，逐步调整直至布气均匀。</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12）管道支吊架：在一定管长间隔内或拐弯处设置，应根据管材、管径及现场情况确定，详见《给排水标准图集》03S402。</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13）管道交叉时压力管让重力管，小管让大管，管道连接时应先找平，不得使管道产生内应力，埋地管道应在基槽底部夯实砂石垫层找平。</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14）管道防腐： 钢制明设管道内、外壁及池内钢件表面除锈后，刷环氧煤沥青底漆一道，厚浆型环氧煤沥青面漆二道；埋地管道，内壁防腐要求同上，外壁防腐表面除锈后，刷环氧煤沥青底漆一道，面漆三道，面漆涂层间缠绕玻璃布二层。上述管道防腐施工技术要求，质量检查标准详见《液体环氧涂料内防腐涂层钢管技术条件(SY/T4057-93)》及《埋地钢质管道环氧煤沥青防腐层技术标准 (SY/T0447-96)》；除锈按《涂装前钢材表面锈蚀等级和除锈等级(GB8923-88)》中的Sa2级进行并结合厂家产品样本的技术要求施工。</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15）其他设备安装时均应严格按照产品说明书及相关规范进行安装。</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16）沟槽开挖深度超过5m，应请有相应资质的设计单位进行专项基坑支护设计。开挖施工段，沟槽、基坑开挖时，埋深超过3m，不大于5.0m时，建议采用钢板桩支护措施开挖，应满足《给水排水管道工程施工及验收规范》4.3章节的相关要求。清单编制单位编制清单时，需考虑该部分工程量。特别是高挖方段道路红线外排水管道及检查井施工时，应采取保护措施，确保施工安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17）本工程设计中结构、建筑、电气、仪表控制等专业的施工说明分别见各专业设计图。</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（3）试运行及运行管理</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1）土建、设备及管道安装完毕后须经组织有关部门验收合格后方可进行试运行，试运行应编制调试运行方案，试运行正常后可进入正常生产运行。</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2）运行前应检查所有工艺设备及与运行设备有关的仪器仪表，开关线路是否符合运行的要求，安全保护装置是否齐全、可靠。</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3）按施工图说明的设计方式运行，所有设备的运行参照设备操作使用说明书或操作手册，同时注意观察各设备的运行情况，运行时如发现问题，应及时查找原因，并采取相应的排除措施。</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4）工艺的运行、维护及安全管理参照《城市污水处理厂运行、维护及其安全技术规程》（CJJ60-2011）的规定。</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 xml:space="preserve">5）在对地下设施和封闭、半封闭设施检修维护之前，必须采用手提式风机强制通风，并配备便携式有毒有害可燃气体检测与报警装置，以确保检修维护人员的安全。井下池内作业过程中严禁吸烟和明火作业。  </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highlight w:val="none"/>
        </w:rPr>
        <w:t>6）本图纸在设备招标前，所有设备基础、安装方式请在设备招标后进行核对，厂家指导安装。若有冲突，请及时与设计院联系。</w:t>
      </w:r>
    </w:p>
    <w:p>
      <w:pPr>
        <w:pStyle w:val="295"/>
        <w:rPr>
          <w:color w:val="auto"/>
        </w:rPr>
      </w:pPr>
      <w:r>
        <w:rPr>
          <w:color w:val="auto"/>
        </w:rPr>
        <w:t>3.</w:t>
      </w:r>
      <w:r>
        <w:rPr>
          <w:rFonts w:hint="eastAsia"/>
          <w:color w:val="auto"/>
        </w:rPr>
        <w:t>2</w:t>
      </w:r>
      <w:r>
        <w:rPr>
          <w:color w:val="auto"/>
        </w:rPr>
        <w:t xml:space="preserve"> </w:t>
      </w:r>
      <w:r>
        <w:rPr>
          <w:rFonts w:hint="eastAsia"/>
          <w:color w:val="auto"/>
        </w:rPr>
        <w:t>蚌埠管理处</w:t>
      </w:r>
      <w:r>
        <w:rPr>
          <w:color w:val="auto"/>
        </w:rPr>
        <w:t>——</w:t>
      </w:r>
      <w:r>
        <w:rPr>
          <w:rFonts w:hint="eastAsia"/>
          <w:color w:val="auto"/>
        </w:rPr>
        <w:t>双庙收费站</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2</w:t>
      </w:r>
      <w:r>
        <w:rPr>
          <w:rFonts w:ascii="Times New Roman" w:hAnsi="Times New Roman" w:cs="Times New Roman"/>
          <w:color w:val="auto"/>
        </w:rPr>
        <w:t>.1 污水方案概况</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双庙收费站新建2</w:t>
      </w:r>
      <w:r>
        <w:rPr>
          <w:rFonts w:eastAsia="仿宋_GB2312"/>
          <w:color w:val="auto"/>
          <w:sz w:val="24"/>
        </w:rPr>
        <w:t>0</w:t>
      </w:r>
      <w:r>
        <w:rPr>
          <w:rFonts w:hint="eastAsia" w:eastAsia="仿宋_GB2312"/>
          <w:color w:val="auto"/>
          <w:sz w:val="24"/>
        </w:rPr>
        <w:t>t</w:t>
      </w:r>
      <w:r>
        <w:rPr>
          <w:rFonts w:eastAsia="仿宋_GB2312"/>
          <w:color w:val="auto"/>
          <w:sz w:val="24"/>
        </w:rPr>
        <w:t>/d</w:t>
      </w:r>
      <w:r>
        <w:rPr>
          <w:rFonts w:hint="eastAsia" w:eastAsia="仿宋_GB2312"/>
          <w:color w:val="auto"/>
          <w:sz w:val="24"/>
        </w:rPr>
        <w:t>一体化污水处理设备及配套调节池，拆除原污水处理设备（运行不良），并同步新建</w:t>
      </w:r>
      <w:r>
        <w:rPr>
          <w:rFonts w:eastAsia="仿宋_GB2312"/>
          <w:color w:val="auto"/>
          <w:sz w:val="24"/>
        </w:rPr>
        <w:t xml:space="preserve"> </w:t>
      </w:r>
      <w:r>
        <w:rPr>
          <w:rFonts w:hint="eastAsia" w:eastAsia="仿宋_GB2312"/>
          <w:color w:val="auto"/>
          <w:sz w:val="24"/>
        </w:rPr>
        <w:t>d</w:t>
      </w:r>
      <w:r>
        <w:rPr>
          <w:rFonts w:eastAsia="仿宋_GB2312"/>
          <w:color w:val="auto"/>
          <w:sz w:val="24"/>
        </w:rPr>
        <w:t>300</w:t>
      </w:r>
      <w:r>
        <w:rPr>
          <w:rFonts w:hint="eastAsia" w:eastAsia="仿宋_GB2312"/>
          <w:color w:val="auto"/>
          <w:sz w:val="24"/>
        </w:rPr>
        <w:t>污水管连接园区内污水至新建化粪池中，经处理设备处理后排出至园区围墙外沟渠。</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2</w:t>
      </w:r>
      <w:r>
        <w:rPr>
          <w:rFonts w:ascii="Times New Roman" w:hAnsi="Times New Roman" w:cs="Times New Roman"/>
          <w:color w:val="auto"/>
        </w:rPr>
        <w:t xml:space="preserve">.2 </w:t>
      </w:r>
      <w:r>
        <w:rPr>
          <w:rFonts w:hint="eastAsia" w:ascii="Times New Roman" w:hAnsi="Times New Roman" w:cs="Times New Roman"/>
          <w:color w:val="auto"/>
        </w:rPr>
        <w:t>园区</w:t>
      </w:r>
      <w:r>
        <w:rPr>
          <w:rFonts w:ascii="Times New Roman" w:hAnsi="Times New Roman" w:cs="Times New Roman"/>
          <w:color w:val="auto"/>
        </w:rPr>
        <w:t>现状调查</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hint="eastAsia" w:eastAsia="仿宋_GB2312"/>
          <w:b/>
          <w:bCs/>
          <w:color w:val="auto"/>
          <w:sz w:val="24"/>
        </w:rPr>
        <w:t>（1）现状排水系统调查</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双庙收费站位于京台高速，于2</w:t>
      </w:r>
      <w:r>
        <w:rPr>
          <w:rFonts w:eastAsia="仿宋_GB2312"/>
          <w:color w:val="auto"/>
          <w:sz w:val="24"/>
        </w:rPr>
        <w:t>002</w:t>
      </w:r>
      <w:r>
        <w:rPr>
          <w:rFonts w:hint="eastAsia" w:eastAsia="仿宋_GB2312"/>
          <w:color w:val="auto"/>
          <w:sz w:val="24"/>
        </w:rPr>
        <w:t>年建成，园区共3</w:t>
      </w:r>
      <w:r>
        <w:rPr>
          <w:rFonts w:eastAsia="仿宋_GB2312"/>
          <w:color w:val="auto"/>
          <w:sz w:val="24"/>
        </w:rPr>
        <w:t>0</w:t>
      </w:r>
      <w:r>
        <w:rPr>
          <w:rFonts w:hint="eastAsia" w:eastAsia="仿宋_GB2312"/>
          <w:color w:val="auto"/>
          <w:sz w:val="24"/>
        </w:rPr>
        <w:t>人，其中住宿约2</w:t>
      </w:r>
      <w:r>
        <w:rPr>
          <w:rFonts w:eastAsia="仿宋_GB2312"/>
          <w:color w:val="auto"/>
          <w:sz w:val="24"/>
        </w:rPr>
        <w:t>0</w:t>
      </w:r>
      <w:r>
        <w:rPr>
          <w:rFonts w:hint="eastAsia" w:eastAsia="仿宋_GB2312"/>
          <w:color w:val="auto"/>
          <w:sz w:val="24"/>
        </w:rPr>
        <w:t>人左右。园区</w:t>
      </w:r>
    </w:p>
    <w:p>
      <w:pPr>
        <w:tabs>
          <w:tab w:val="left" w:pos="525"/>
        </w:tabs>
        <w:adjustRightInd w:val="0"/>
        <w:snapToGrid w:val="0"/>
        <w:spacing w:line="360" w:lineRule="auto"/>
        <w:rPr>
          <w:rFonts w:eastAsia="仿宋_GB2312"/>
          <w:color w:val="auto"/>
          <w:sz w:val="24"/>
        </w:rPr>
      </w:pPr>
      <w:r>
        <w:rPr>
          <w:rFonts w:hint="eastAsia" w:eastAsia="仿宋_GB2312"/>
          <w:color w:val="auto"/>
          <w:sz w:val="24"/>
        </w:rPr>
        <w:t>用水量大约为</w:t>
      </w:r>
      <w:r>
        <w:rPr>
          <w:rFonts w:eastAsia="仿宋_GB2312"/>
          <w:color w:val="auto"/>
          <w:sz w:val="24"/>
        </w:rPr>
        <w:t xml:space="preserve">15 </w:t>
      </w:r>
      <w:r>
        <w:rPr>
          <w:rFonts w:hint="eastAsia" w:eastAsia="仿宋_GB2312"/>
          <w:color w:val="auto"/>
          <w:sz w:val="24"/>
        </w:rPr>
        <w:t>m3/d。根据现场实地踏勘，收费站现状排水为雨污分流，现状为地埋土建式污水处理设施，设备长期无人运维（已报废），排口进入收费站旁沟渠中，排水水质不达标。园区内管网未与主管网联通，污水难以外排，污水排入楼前化粪池后无出路。餐厅无隔油池，管网堵塞严重。</w:t>
      </w:r>
    </w:p>
    <w:p>
      <w:pPr>
        <w:tabs>
          <w:tab w:val="left" w:pos="525"/>
        </w:tabs>
        <w:adjustRightInd w:val="0"/>
        <w:snapToGrid w:val="0"/>
        <w:spacing w:line="360" w:lineRule="auto"/>
        <w:jc w:val="center"/>
        <w:rPr>
          <w:rFonts w:eastAsia="仿宋_GB2312"/>
          <w:b/>
          <w:bCs/>
          <w:color w:val="auto"/>
          <w:sz w:val="24"/>
        </w:rPr>
      </w:pPr>
      <w:r>
        <w:rPr>
          <w:color w:val="auto"/>
        </w:rPr>
        <w:drawing>
          <wp:inline distT="0" distB="0" distL="0" distR="0">
            <wp:extent cx="5372735" cy="37814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399404" cy="3800672"/>
                    </a:xfrm>
                    <a:prstGeom prst="rect">
                      <a:avLst/>
                    </a:prstGeom>
                  </pic:spPr>
                </pic:pic>
              </a:graphicData>
            </a:graphic>
          </wp:inline>
        </w:drawing>
      </w:r>
    </w:p>
    <w:p>
      <w:pPr>
        <w:tabs>
          <w:tab w:val="left" w:pos="525"/>
        </w:tabs>
        <w:adjustRightInd w:val="0"/>
        <w:snapToGrid w:val="0"/>
        <w:spacing w:line="360" w:lineRule="auto"/>
        <w:ind w:left="55" w:leftChars="26" w:firstLine="463" w:firstLineChars="192"/>
        <w:jc w:val="center"/>
        <w:rPr>
          <w:rFonts w:eastAsia="仿宋_GB2312"/>
          <w:b/>
          <w:bCs/>
          <w:color w:val="auto"/>
          <w:sz w:val="24"/>
        </w:rPr>
      </w:pPr>
      <w:r>
        <w:rPr>
          <w:rFonts w:hint="eastAsia" w:eastAsia="仿宋_GB2312"/>
          <w:b/>
          <w:bCs/>
          <w:color w:val="auto"/>
          <w:sz w:val="24"/>
        </w:rPr>
        <w:t>双庙收费站现状排水系统图</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w:t>
      </w:r>
      <w:r>
        <w:rPr>
          <w:rFonts w:hint="eastAsia" w:eastAsia="仿宋_GB2312"/>
          <w:b/>
          <w:bCs/>
          <w:color w:val="auto"/>
          <w:sz w:val="24"/>
        </w:rPr>
        <w:t>现状污水系统存在问题</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①污水与主管不连通，污水无出路；②污水处理设备已报废，无污水处理能力；③无隔油池等小型排水构筑物</w:t>
      </w:r>
    </w:p>
    <w:p>
      <w:pPr>
        <w:tabs>
          <w:tab w:val="left" w:pos="525"/>
        </w:tabs>
        <w:adjustRightInd w:val="0"/>
        <w:snapToGrid w:val="0"/>
        <w:spacing w:line="360" w:lineRule="auto"/>
        <w:ind w:left="55" w:leftChars="26" w:firstLine="463" w:firstLineChars="192"/>
        <w:jc w:val="center"/>
        <w:rPr>
          <w:rFonts w:eastAsia="仿宋_GB2312"/>
          <w:b/>
          <w:bCs/>
          <w:color w:val="auto"/>
          <w:sz w:val="24"/>
        </w:rPr>
      </w:pPr>
      <w:r>
        <w:rPr>
          <w:rFonts w:eastAsia="仿宋_GB2312"/>
          <w:b/>
          <w:bCs/>
          <w:color w:val="auto"/>
          <w:sz w:val="24"/>
        </w:rPr>
        <w:drawing>
          <wp:inline distT="0" distB="0" distL="0" distR="0">
            <wp:extent cx="2341880" cy="2148840"/>
            <wp:effectExtent l="0" t="0" r="127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349161" cy="2156117"/>
                    </a:xfrm>
                    <a:prstGeom prst="rect">
                      <a:avLst/>
                    </a:prstGeom>
                    <a:noFill/>
                    <a:ln>
                      <a:noFill/>
                    </a:ln>
                  </pic:spPr>
                </pic:pic>
              </a:graphicData>
            </a:graphic>
          </wp:inline>
        </w:drawing>
      </w:r>
      <w:r>
        <w:rPr>
          <w:rFonts w:eastAsia="仿宋_GB2312"/>
          <w:b/>
          <w:bCs/>
          <w:color w:val="auto"/>
          <w:sz w:val="24"/>
        </w:rPr>
        <w:t xml:space="preserve">      </w:t>
      </w:r>
      <w:r>
        <w:rPr>
          <w:rFonts w:eastAsia="仿宋_GB2312"/>
          <w:b/>
          <w:bCs/>
          <w:color w:val="auto"/>
          <w:sz w:val="24"/>
        </w:rPr>
        <w:drawing>
          <wp:inline distT="0" distB="0" distL="0" distR="0">
            <wp:extent cx="2381885" cy="21374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393307" cy="2147810"/>
                    </a:xfrm>
                    <a:prstGeom prst="rect">
                      <a:avLst/>
                    </a:prstGeom>
                    <a:noFill/>
                    <a:ln>
                      <a:noFill/>
                    </a:ln>
                  </pic:spPr>
                </pic:pic>
              </a:graphicData>
            </a:graphic>
          </wp:inline>
        </w:drawing>
      </w:r>
    </w:p>
    <w:p>
      <w:pPr>
        <w:tabs>
          <w:tab w:val="left" w:pos="525"/>
        </w:tabs>
        <w:adjustRightInd w:val="0"/>
        <w:snapToGrid w:val="0"/>
        <w:spacing w:line="360" w:lineRule="auto"/>
        <w:ind w:left="55" w:leftChars="26" w:firstLine="2631" w:firstLineChars="1092"/>
        <w:rPr>
          <w:rFonts w:eastAsia="仿宋_GB2312"/>
          <w:b/>
          <w:bCs/>
          <w:color w:val="auto"/>
          <w:sz w:val="24"/>
        </w:rPr>
      </w:pPr>
      <w:r>
        <w:rPr>
          <w:rFonts w:hint="eastAsia" w:eastAsia="仿宋_GB2312"/>
          <w:b/>
          <w:bCs/>
          <w:color w:val="auto"/>
          <w:sz w:val="24"/>
        </w:rPr>
        <w:t xml:space="preserve">现状排水管道 </w:t>
      </w:r>
      <w:r>
        <w:rPr>
          <w:rFonts w:eastAsia="仿宋_GB2312"/>
          <w:b/>
          <w:bCs/>
          <w:color w:val="auto"/>
          <w:sz w:val="24"/>
        </w:rPr>
        <w:t xml:space="preserve">                                    </w:t>
      </w:r>
      <w:r>
        <w:rPr>
          <w:rFonts w:hint="eastAsia" w:eastAsia="仿宋_GB2312"/>
          <w:b/>
          <w:bCs/>
          <w:color w:val="auto"/>
          <w:sz w:val="24"/>
        </w:rPr>
        <w:t>现状污水处理设备</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2</w:t>
      </w:r>
      <w:r>
        <w:rPr>
          <w:rFonts w:ascii="Times New Roman" w:hAnsi="Times New Roman" w:cs="Times New Roman"/>
          <w:color w:val="auto"/>
        </w:rPr>
        <w:t>.3 设计方案</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（1）污水系统设计</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新建d</w:t>
      </w:r>
      <w:r>
        <w:rPr>
          <w:rFonts w:eastAsia="仿宋_GB2312"/>
          <w:color w:val="auto"/>
          <w:sz w:val="24"/>
        </w:rPr>
        <w:t>300</w:t>
      </w:r>
      <w:r>
        <w:rPr>
          <w:rFonts w:hint="eastAsia" w:eastAsia="仿宋_GB2312"/>
          <w:color w:val="auto"/>
          <w:sz w:val="24"/>
        </w:rPr>
        <w:t>污水管将园区办公楼、宿舍楼、公厕等污水进行连通后接入新建化粪池中，在化粪池后新建调节池（有效容积5m</w:t>
      </w:r>
      <w:r>
        <w:rPr>
          <w:rFonts w:eastAsia="仿宋_GB2312"/>
          <w:color w:val="auto"/>
          <w:sz w:val="24"/>
        </w:rPr>
        <w:t>3</w:t>
      </w:r>
      <w:r>
        <w:rPr>
          <w:rFonts w:hint="eastAsia" w:eastAsia="仿宋_GB2312"/>
          <w:color w:val="auto"/>
          <w:sz w:val="24"/>
        </w:rPr>
        <w:t>）及格栅井用以调节水量，最后接入新建一体化污水处理设备（2</w:t>
      </w:r>
      <w:r>
        <w:rPr>
          <w:rFonts w:eastAsia="仿宋_GB2312"/>
          <w:color w:val="auto"/>
          <w:sz w:val="24"/>
        </w:rPr>
        <w:t>0</w:t>
      </w:r>
      <w:r>
        <w:rPr>
          <w:rFonts w:hint="eastAsia" w:eastAsia="仿宋_GB2312"/>
          <w:color w:val="auto"/>
          <w:sz w:val="24"/>
        </w:rPr>
        <w:t>t/</w:t>
      </w:r>
      <w:r>
        <w:rPr>
          <w:rFonts w:eastAsia="仿宋_GB2312"/>
          <w:color w:val="auto"/>
          <w:sz w:val="24"/>
        </w:rPr>
        <w:t>d</w:t>
      </w:r>
      <w:r>
        <w:rPr>
          <w:rFonts w:hint="eastAsia" w:eastAsia="仿宋_GB2312"/>
          <w:color w:val="auto"/>
          <w:sz w:val="24"/>
        </w:rPr>
        <w:t>）处理后出水排入收费站外侧沟渠，周边无外排纠纷。拆除原污水处理设施后按原址新建一体化处理设备，其电源可从设备房配电间直接引接，引接长度约</w:t>
      </w:r>
      <w:r>
        <w:rPr>
          <w:rFonts w:eastAsia="仿宋_GB2312"/>
          <w:color w:val="auto"/>
          <w:sz w:val="24"/>
        </w:rPr>
        <w:t>65m</w:t>
      </w:r>
      <w:r>
        <w:rPr>
          <w:rFonts w:hint="eastAsia" w:eastAsia="仿宋_GB2312"/>
          <w:color w:val="auto"/>
          <w:sz w:val="24"/>
        </w:rPr>
        <w:t>，站区配电预留功率约</w:t>
      </w:r>
      <w:r>
        <w:rPr>
          <w:rFonts w:eastAsia="仿宋_GB2312"/>
          <w:color w:val="auto"/>
          <w:sz w:val="24"/>
        </w:rPr>
        <w:t>500kw</w:t>
      </w:r>
      <w:r>
        <w:rPr>
          <w:rFonts w:hint="eastAsia" w:eastAsia="仿宋_GB2312"/>
          <w:color w:val="auto"/>
          <w:sz w:val="24"/>
        </w:rPr>
        <w:t>，可满足新建设备用电需求。</w:t>
      </w:r>
    </w:p>
    <w:p>
      <w:pPr>
        <w:tabs>
          <w:tab w:val="left" w:pos="525"/>
        </w:tabs>
        <w:adjustRightInd w:val="0"/>
        <w:snapToGrid w:val="0"/>
        <w:spacing w:line="360" w:lineRule="auto"/>
        <w:ind w:left="55" w:leftChars="26" w:firstLine="403" w:firstLineChars="192"/>
        <w:jc w:val="center"/>
        <w:rPr>
          <w:rFonts w:eastAsia="仿宋_GB2312"/>
          <w:color w:val="auto"/>
          <w:sz w:val="24"/>
        </w:rPr>
      </w:pPr>
      <w:r>
        <w:rPr>
          <w:color w:val="auto"/>
        </w:rPr>
        <w:drawing>
          <wp:inline distT="0" distB="0" distL="0" distR="0">
            <wp:extent cx="5398770" cy="33959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5462950" cy="3436340"/>
                    </a:xfrm>
                    <a:prstGeom prst="rect">
                      <a:avLst/>
                    </a:prstGeom>
                  </pic:spPr>
                </pic:pic>
              </a:graphicData>
            </a:graphic>
          </wp:inline>
        </w:drawing>
      </w:r>
    </w:p>
    <w:p>
      <w:pPr>
        <w:tabs>
          <w:tab w:val="left" w:pos="525"/>
        </w:tabs>
        <w:adjustRightInd w:val="0"/>
        <w:snapToGrid w:val="0"/>
        <w:spacing w:line="360" w:lineRule="auto"/>
        <w:ind w:left="55" w:leftChars="26" w:firstLine="463" w:firstLineChars="192"/>
        <w:jc w:val="center"/>
        <w:rPr>
          <w:rFonts w:eastAsia="仿宋_GB2312"/>
          <w:b/>
          <w:bCs/>
          <w:color w:val="auto"/>
          <w:sz w:val="24"/>
        </w:rPr>
      </w:pPr>
      <w:r>
        <w:rPr>
          <w:rFonts w:hint="eastAsia" w:eastAsia="仿宋_GB2312"/>
          <w:b/>
          <w:bCs/>
          <w:color w:val="auto"/>
          <w:sz w:val="24"/>
        </w:rPr>
        <w:t>双庙收费站污水系统设计图</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w:t>
      </w:r>
      <w:r>
        <w:rPr>
          <w:rFonts w:hint="eastAsia" w:eastAsia="仿宋_GB2312"/>
          <w:b/>
          <w:bCs/>
          <w:color w:val="auto"/>
          <w:sz w:val="24"/>
        </w:rPr>
        <w:t>污水调节池</w:t>
      </w:r>
      <w:r>
        <w:rPr>
          <w:rFonts w:eastAsia="仿宋_GB2312"/>
          <w:b/>
          <w:bCs/>
          <w:color w:val="auto"/>
          <w:sz w:val="24"/>
        </w:rPr>
        <w:t>设计</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格栅井放置于调节池中，格栅采用回转式格栅，宽度B</w:t>
      </w:r>
      <w:r>
        <w:rPr>
          <w:rFonts w:eastAsia="仿宋_GB2312"/>
          <w:color w:val="auto"/>
          <w:sz w:val="24"/>
        </w:rPr>
        <w:t>=800</w:t>
      </w:r>
      <w:r>
        <w:rPr>
          <w:rFonts w:hint="eastAsia" w:eastAsia="仿宋_GB2312"/>
          <w:color w:val="auto"/>
          <w:sz w:val="24"/>
        </w:rPr>
        <w:t>mm，功率P</w:t>
      </w:r>
      <w:r>
        <w:rPr>
          <w:rFonts w:eastAsia="仿宋_GB2312"/>
          <w:color w:val="auto"/>
          <w:sz w:val="24"/>
        </w:rPr>
        <w:t>=1.1</w:t>
      </w:r>
      <w:r>
        <w:rPr>
          <w:rFonts w:hint="eastAsia" w:eastAsia="仿宋_GB2312"/>
          <w:color w:val="auto"/>
          <w:sz w:val="24"/>
        </w:rPr>
        <w:t>k</w:t>
      </w:r>
      <w:r>
        <w:rPr>
          <w:rFonts w:eastAsia="仿宋_GB2312"/>
          <w:color w:val="auto"/>
          <w:sz w:val="24"/>
        </w:rPr>
        <w:t>W</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根据现场调查，本次设计调节规模按照现状污水处理设备2</w:t>
      </w:r>
      <w:r>
        <w:rPr>
          <w:rFonts w:eastAsia="仿宋_GB2312"/>
          <w:color w:val="auto"/>
          <w:sz w:val="24"/>
        </w:rPr>
        <w:t>0</w:t>
      </w:r>
      <w:r>
        <w:rPr>
          <w:rFonts w:hint="eastAsia" w:eastAsia="仿宋_GB2312"/>
          <w:color w:val="auto"/>
          <w:sz w:val="24"/>
        </w:rPr>
        <w:t>m</w:t>
      </w:r>
      <w:r>
        <w:rPr>
          <w:rFonts w:eastAsia="仿宋_GB2312"/>
          <w:color w:val="auto"/>
          <w:sz w:val="24"/>
        </w:rPr>
        <w:t>3/d</w:t>
      </w:r>
      <w:r>
        <w:rPr>
          <w:rFonts w:hint="eastAsia" w:eastAsia="仿宋_GB2312"/>
          <w:color w:val="auto"/>
          <w:sz w:val="24"/>
        </w:rPr>
        <w:t>确定。污水调节池设计有效容积为5m</w:t>
      </w:r>
      <w:r>
        <w:rPr>
          <w:rFonts w:eastAsia="仿宋_GB2312"/>
          <w:color w:val="auto"/>
          <w:sz w:val="24"/>
          <w:vertAlign w:val="superscript"/>
        </w:rPr>
        <w:t>3</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调节池内设两台污水潜污泵，一用一备，单泵</w:t>
      </w:r>
      <w:r>
        <w:rPr>
          <w:rFonts w:eastAsia="仿宋_GB2312"/>
          <w:color w:val="auto"/>
          <w:sz w:val="24"/>
        </w:rPr>
        <w:t>单台水泵参数为Q=3m3/</w:t>
      </w:r>
      <w:r>
        <w:rPr>
          <w:rFonts w:hint="eastAsia" w:eastAsia="仿宋_GB2312"/>
          <w:color w:val="auto"/>
          <w:sz w:val="24"/>
        </w:rPr>
        <w:t>h</w:t>
      </w:r>
      <w:r>
        <w:rPr>
          <w:rFonts w:eastAsia="仿宋_GB2312"/>
          <w:color w:val="auto"/>
          <w:sz w:val="24"/>
        </w:rPr>
        <w:t>、H=9m、P=0.75kW。水泵运行曲线如下图</w:t>
      </w:r>
      <w:r>
        <w:rPr>
          <w:rFonts w:hint="eastAsia" w:eastAsia="仿宋_GB2312"/>
          <w:color w:val="auto"/>
          <w:sz w:val="24"/>
        </w:rPr>
        <w:t>1</w:t>
      </w:r>
      <w:r>
        <w:rPr>
          <w:rFonts w:eastAsia="仿宋_GB2312"/>
          <w:color w:val="auto"/>
          <w:sz w:val="24"/>
        </w:rPr>
        <w:t>：</w:t>
      </w:r>
    </w:p>
    <w:p>
      <w:pPr>
        <w:tabs>
          <w:tab w:val="left" w:pos="525"/>
        </w:tabs>
        <w:adjustRightInd w:val="0"/>
        <w:snapToGrid w:val="0"/>
        <w:spacing w:line="360" w:lineRule="auto"/>
        <w:ind w:left="55" w:leftChars="26" w:firstLine="403" w:firstLineChars="192"/>
        <w:jc w:val="center"/>
        <w:rPr>
          <w:rFonts w:eastAsia="仿宋_GB2312"/>
          <w:color w:val="auto"/>
          <w:sz w:val="24"/>
        </w:rPr>
      </w:pPr>
      <w:r>
        <w:rPr>
          <w:color w:val="auto"/>
        </w:rPr>
        <w:drawing>
          <wp:inline distT="0" distB="0" distL="0" distR="0">
            <wp:extent cx="3810000" cy="38481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3810000" cy="3848100"/>
                    </a:xfrm>
                    <a:prstGeom prst="rect">
                      <a:avLst/>
                    </a:prstGeom>
                  </pic:spPr>
                </pic:pic>
              </a:graphicData>
            </a:graphic>
          </wp:inline>
        </w:drawing>
      </w:r>
    </w:p>
    <w:p>
      <w:pPr>
        <w:tabs>
          <w:tab w:val="left" w:pos="525"/>
        </w:tabs>
        <w:adjustRightInd w:val="0"/>
        <w:snapToGrid w:val="0"/>
        <w:spacing w:line="360" w:lineRule="auto"/>
        <w:ind w:left="55" w:leftChars="26" w:firstLine="463" w:firstLineChars="192"/>
        <w:rPr>
          <w:rFonts w:eastAsia="仿宋_GB2312"/>
          <w:b/>
          <w:bCs/>
          <w:color w:val="auto"/>
          <w:sz w:val="24"/>
        </w:rPr>
      </w:pPr>
      <w:r>
        <w:rPr>
          <w:rFonts w:hint="eastAsia" w:eastAsia="仿宋_GB2312"/>
          <w:b/>
          <w:bCs/>
          <w:color w:val="auto"/>
          <w:sz w:val="24"/>
        </w:rPr>
        <w:t>（3）一体化处理设备设计（20t/d）</w:t>
      </w:r>
    </w:p>
    <w:p>
      <w:pPr>
        <w:tabs>
          <w:tab w:val="left" w:pos="525"/>
        </w:tabs>
        <w:adjustRightInd w:val="0"/>
        <w:snapToGrid w:val="0"/>
        <w:spacing w:line="360" w:lineRule="auto"/>
        <w:ind w:left="55" w:leftChars="26" w:firstLine="463" w:firstLineChars="192"/>
        <w:rPr>
          <w:rFonts w:eastAsia="仿宋_GB2312"/>
          <w:b/>
          <w:bCs/>
          <w:color w:val="auto"/>
          <w:sz w:val="24"/>
        </w:rPr>
      </w:pPr>
      <w:bookmarkStart w:id="7" w:name="_Hlk101280470"/>
      <w:r>
        <w:rPr>
          <w:rFonts w:eastAsia="仿宋_GB2312"/>
          <w:b/>
          <w:bCs/>
          <w:color w:val="auto"/>
          <w:sz w:val="24"/>
        </w:rPr>
        <w:t>1）进水水质</w:t>
      </w:r>
    </w:p>
    <w:p>
      <w:pPr>
        <w:adjustRightInd w:val="0"/>
        <w:snapToGrid w:val="0"/>
        <w:spacing w:line="360" w:lineRule="auto"/>
        <w:ind w:firstLine="480" w:firstLineChars="200"/>
        <w:rPr>
          <w:rFonts w:ascii="仿宋_GB2312" w:eastAsia="仿宋_GB2312"/>
          <w:color w:val="auto"/>
          <w:sz w:val="24"/>
        </w:rPr>
      </w:pPr>
      <w:r>
        <w:rPr>
          <w:rFonts w:hint="eastAsia" w:ascii="仿宋_GB2312" w:eastAsia="仿宋_GB2312"/>
          <w:color w:val="auto"/>
          <w:sz w:val="24"/>
        </w:rPr>
        <w:t>一体化水处理设备生活污水进水浓度要求如下表：</w:t>
      </w:r>
    </w:p>
    <w:tbl>
      <w:tblPr>
        <w:tblStyle w:val="46"/>
        <w:tblW w:w="8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95"/>
        <w:gridCol w:w="1160"/>
        <w:gridCol w:w="1161"/>
        <w:gridCol w:w="1161"/>
        <w:gridCol w:w="1132"/>
        <w:gridCol w:w="1190"/>
        <w:gridCol w:w="1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3" w:hRule="exact"/>
          <w:jc w:val="center"/>
        </w:trPr>
        <w:tc>
          <w:tcPr>
            <w:tcW w:w="1495"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进水项目</w:t>
            </w:r>
          </w:p>
        </w:tc>
        <w:tc>
          <w:tcPr>
            <w:tcW w:w="1160"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CODCr</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BOD5</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SS</w:t>
            </w:r>
          </w:p>
        </w:tc>
        <w:tc>
          <w:tcPr>
            <w:tcW w:w="1132"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TP</w:t>
            </w:r>
          </w:p>
        </w:tc>
        <w:tc>
          <w:tcPr>
            <w:tcW w:w="1190"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NH3-N</w:t>
            </w:r>
          </w:p>
        </w:tc>
        <w:tc>
          <w:tcPr>
            <w:tcW w:w="1161"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27" w:hRule="exact"/>
          <w:jc w:val="center"/>
        </w:trPr>
        <w:tc>
          <w:tcPr>
            <w:tcW w:w="1495"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水质参数值（mg/L）</w:t>
            </w:r>
          </w:p>
        </w:tc>
        <w:tc>
          <w:tcPr>
            <w:tcW w:w="1160"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≤400</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≤200</w:t>
            </w:r>
          </w:p>
        </w:tc>
        <w:tc>
          <w:tcPr>
            <w:tcW w:w="1161" w:type="dxa"/>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≤200</w:t>
            </w:r>
          </w:p>
        </w:tc>
        <w:tc>
          <w:tcPr>
            <w:tcW w:w="1132"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≤4</w:t>
            </w:r>
          </w:p>
        </w:tc>
        <w:tc>
          <w:tcPr>
            <w:tcW w:w="1190"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≤35</w:t>
            </w:r>
          </w:p>
        </w:tc>
        <w:tc>
          <w:tcPr>
            <w:tcW w:w="1161" w:type="dxa"/>
            <w:shd w:val="clear" w:color="auto" w:fill="FFFFFF"/>
            <w:vAlign w:val="center"/>
          </w:tcPr>
          <w:p>
            <w:pPr>
              <w:tabs>
                <w:tab w:val="left" w:pos="525"/>
              </w:tabs>
              <w:adjustRightInd w:val="0"/>
              <w:snapToGrid w:val="0"/>
              <w:jc w:val="center"/>
              <w:rPr>
                <w:rFonts w:ascii="仿宋_GB2312" w:eastAsia="仿宋_GB2312"/>
                <w:color w:val="auto"/>
                <w:szCs w:val="21"/>
              </w:rPr>
            </w:pPr>
            <w:r>
              <w:rPr>
                <w:rFonts w:hint="eastAsia" w:ascii="仿宋_GB2312" w:eastAsia="仿宋_GB2312"/>
                <w:color w:val="auto"/>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exact"/>
          <w:jc w:val="center"/>
        </w:trPr>
        <w:tc>
          <w:tcPr>
            <w:tcW w:w="8460" w:type="dxa"/>
            <w:gridSpan w:val="7"/>
            <w:shd w:val="clear" w:color="auto" w:fill="FFFFFF"/>
            <w:vAlign w:val="center"/>
          </w:tcPr>
          <w:p>
            <w:pPr>
              <w:tabs>
                <w:tab w:val="left" w:pos="525"/>
              </w:tabs>
              <w:adjustRightInd w:val="0"/>
              <w:snapToGrid w:val="0"/>
              <w:spacing w:line="360" w:lineRule="auto"/>
              <w:jc w:val="center"/>
              <w:rPr>
                <w:rFonts w:ascii="仿宋_GB2312" w:eastAsia="仿宋_GB2312"/>
                <w:color w:val="auto"/>
                <w:szCs w:val="21"/>
              </w:rPr>
            </w:pPr>
            <w:r>
              <w:rPr>
                <w:rFonts w:hint="eastAsia" w:ascii="仿宋_GB2312" w:eastAsia="仿宋_GB2312"/>
                <w:color w:val="auto"/>
                <w:szCs w:val="21"/>
              </w:rPr>
              <w:t>进水水质满足上表要求且符合BOD5/COD≥0.35， BOD5/TN≥4，BOD5/TP≥20</w:t>
            </w:r>
          </w:p>
        </w:tc>
      </w:tr>
    </w:tbl>
    <w:p>
      <w:pPr>
        <w:tabs>
          <w:tab w:val="left" w:pos="525"/>
        </w:tabs>
        <w:adjustRightInd w:val="0"/>
        <w:snapToGrid w:val="0"/>
        <w:spacing w:line="360" w:lineRule="auto"/>
        <w:ind w:left="55" w:leftChars="26" w:firstLine="463" w:firstLineChars="192"/>
        <w:rPr>
          <w:rFonts w:eastAsia="仿宋_GB2312"/>
          <w:b/>
          <w:bCs/>
          <w:color w:val="auto"/>
          <w:sz w:val="24"/>
        </w:rPr>
      </w:pPr>
      <w:r>
        <w:rPr>
          <w:rFonts w:hint="eastAsia" w:eastAsia="仿宋_GB2312"/>
          <w:b/>
          <w:bCs/>
          <w:color w:val="auto"/>
          <w:sz w:val="24"/>
        </w:rPr>
        <w:t>2）出水水质</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一体化污水处理设备排放标准执行《城镇污水处理厂污染物排放标准》（GB18918－2002）一级 A类标准，具体出水水质指标如下表所示：</w:t>
      </w:r>
    </w:p>
    <w:tbl>
      <w:tblPr>
        <w:tblStyle w:val="46"/>
        <w:tblW w:w="84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9"/>
        <w:gridCol w:w="1134"/>
        <w:gridCol w:w="1134"/>
        <w:gridCol w:w="1134"/>
        <w:gridCol w:w="1134"/>
        <w:gridCol w:w="1276"/>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2" w:hRule="atLeast"/>
          <w:jc w:val="center"/>
        </w:trPr>
        <w:tc>
          <w:tcPr>
            <w:tcW w:w="1509"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出水项目</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CODCr</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BOD5</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SS</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TP</w:t>
            </w:r>
          </w:p>
        </w:tc>
        <w:tc>
          <w:tcPr>
            <w:tcW w:w="1276"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NH3-N</w:t>
            </w:r>
          </w:p>
        </w:tc>
        <w:tc>
          <w:tcPr>
            <w:tcW w:w="1167"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1" w:hRule="atLeast"/>
          <w:jc w:val="center"/>
        </w:trPr>
        <w:tc>
          <w:tcPr>
            <w:tcW w:w="1509"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一级A排放标准</w:t>
            </w:r>
            <w:r>
              <w:rPr>
                <w:rFonts w:hint="eastAsia" w:eastAsia="仿宋_GB2312"/>
                <w:color w:val="auto"/>
                <w:szCs w:val="21"/>
              </w:rPr>
              <w:t>（</w:t>
            </w:r>
            <w:r>
              <w:rPr>
                <w:rFonts w:eastAsia="仿宋_GB2312"/>
                <w:color w:val="auto"/>
                <w:szCs w:val="21"/>
              </w:rPr>
              <w:t>mg/L</w:t>
            </w:r>
            <w:r>
              <w:rPr>
                <w:rFonts w:hint="eastAsia" w:eastAsia="仿宋_GB2312"/>
                <w:color w:val="auto"/>
                <w:szCs w:val="21"/>
              </w:rPr>
              <w:t>）</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≤50</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≤10</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≤10</w:t>
            </w:r>
          </w:p>
        </w:tc>
        <w:tc>
          <w:tcPr>
            <w:tcW w:w="1134"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≤0.5</w:t>
            </w:r>
          </w:p>
        </w:tc>
        <w:tc>
          <w:tcPr>
            <w:tcW w:w="1276"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≤5（8）</w:t>
            </w:r>
          </w:p>
        </w:tc>
        <w:tc>
          <w:tcPr>
            <w:tcW w:w="1167" w:type="dxa"/>
            <w:vAlign w:val="center"/>
          </w:tcPr>
          <w:p>
            <w:pPr>
              <w:tabs>
                <w:tab w:val="left" w:pos="525"/>
              </w:tabs>
              <w:adjustRightInd w:val="0"/>
              <w:snapToGrid w:val="0"/>
              <w:spacing w:line="360" w:lineRule="auto"/>
              <w:rPr>
                <w:rFonts w:eastAsia="仿宋_GB2312"/>
                <w:color w:val="auto"/>
                <w:szCs w:val="21"/>
              </w:rPr>
            </w:pPr>
            <w:r>
              <w:rPr>
                <w:rFonts w:eastAsia="仿宋_GB2312"/>
                <w:color w:val="auto"/>
                <w:szCs w:val="21"/>
              </w:rPr>
              <w:t>15</w:t>
            </w:r>
          </w:p>
        </w:tc>
      </w:tr>
    </w:tbl>
    <w:p>
      <w:pPr>
        <w:tabs>
          <w:tab w:val="left" w:pos="525"/>
        </w:tabs>
        <w:adjustRightInd w:val="0"/>
        <w:snapToGrid w:val="0"/>
        <w:spacing w:line="360" w:lineRule="auto"/>
        <w:ind w:left="55" w:leftChars="26" w:firstLine="460" w:firstLineChars="192"/>
        <w:rPr>
          <w:color w:val="auto"/>
          <w:sz w:val="24"/>
          <w:lang w:val="zh-CN"/>
        </w:rPr>
      </w:pPr>
      <w:r>
        <w:rPr>
          <w:rFonts w:eastAsia="仿宋_GB2312"/>
          <w:color w:val="auto"/>
          <w:sz w:val="24"/>
        </w:rPr>
        <w:t>注：括号外数值为水温＞12℃时的控制指标，括号内数值为水温≤12℃时的控制指标。</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3）处理工艺流程</w:t>
      </w:r>
    </w:p>
    <w:p>
      <w:pPr>
        <w:tabs>
          <w:tab w:val="left" w:pos="525"/>
        </w:tabs>
        <w:adjustRightInd w:val="0"/>
        <w:snapToGrid w:val="0"/>
        <w:spacing w:line="360" w:lineRule="auto"/>
        <w:ind w:left="55" w:leftChars="26" w:firstLine="463" w:firstLineChars="192"/>
        <w:rPr>
          <w:rFonts w:eastAsia="仿宋_GB2312"/>
          <w:color w:val="auto"/>
          <w:sz w:val="24"/>
        </w:rPr>
      </w:pPr>
      <w:r>
        <w:rPr>
          <w:rFonts w:hint="eastAsia" w:cs="宋体"/>
          <w:b/>
          <w:bCs/>
          <w:color w:val="auto"/>
          <w:sz w:val="24"/>
          <w:szCs w:val="24"/>
        </w:rPr>
        <w:drawing>
          <wp:inline distT="0" distB="0" distL="0" distR="0">
            <wp:extent cx="5347970" cy="2275205"/>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a:srcRect/>
                    <a:stretch>
                      <a:fillRect/>
                    </a:stretch>
                  </pic:blipFill>
                  <pic:spPr>
                    <a:xfrm>
                      <a:off x="0" y="0"/>
                      <a:ext cx="5350492" cy="2276338"/>
                    </a:xfrm>
                    <a:prstGeom prst="rect">
                      <a:avLst/>
                    </a:prstGeom>
                    <a:noFill/>
                    <a:ln w="9525">
                      <a:noFill/>
                      <a:miter lim="800000"/>
                      <a:headEnd/>
                      <a:tailEnd/>
                    </a:ln>
                  </pic:spPr>
                </pic:pic>
              </a:graphicData>
            </a:graphic>
          </wp:inline>
        </w:drawing>
      </w:r>
    </w:p>
    <w:p>
      <w:pPr>
        <w:spacing w:line="360" w:lineRule="auto"/>
        <w:jc w:val="center"/>
        <w:rPr>
          <w:rFonts w:eastAsia="仿宋_GB2312"/>
          <w:b/>
          <w:bCs/>
          <w:color w:val="auto"/>
          <w:sz w:val="24"/>
        </w:rPr>
      </w:pPr>
      <w:r>
        <w:rPr>
          <w:rFonts w:eastAsia="仿宋_GB2312"/>
          <w:b/>
          <w:bCs/>
          <w:color w:val="auto"/>
          <w:sz w:val="24"/>
        </w:rPr>
        <w:t>处理工艺流程图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上图虚线框线内为一体化污水处理设备的工艺流程</w:t>
      </w:r>
      <w:r>
        <w:rPr>
          <w:rFonts w:hint="eastAsia" w:eastAsia="仿宋_GB2312"/>
          <w:color w:val="auto"/>
          <w:sz w:val="24"/>
        </w:rPr>
        <w:t>，</w:t>
      </w:r>
      <w:r>
        <w:rPr>
          <w:rFonts w:eastAsia="仿宋_GB2312"/>
          <w:color w:val="auto"/>
          <w:sz w:val="24"/>
        </w:rPr>
        <w:t>采用</w:t>
      </w:r>
      <w:r>
        <w:rPr>
          <w:rFonts w:hint="eastAsia" w:eastAsia="仿宋_GB2312"/>
          <w:color w:val="auto"/>
          <w:sz w:val="24"/>
        </w:rPr>
        <w:t>“</w:t>
      </w:r>
      <w:r>
        <w:rPr>
          <w:rFonts w:eastAsia="仿宋_GB2312"/>
          <w:color w:val="auto"/>
          <w:sz w:val="24"/>
        </w:rPr>
        <w:t>A</w:t>
      </w:r>
      <w:r>
        <w:rPr>
          <w:rFonts w:eastAsia="仿宋_GB2312"/>
          <w:color w:val="auto"/>
          <w:sz w:val="24"/>
          <w:vertAlign w:val="superscript"/>
        </w:rPr>
        <w:t>3</w:t>
      </w:r>
      <w:r>
        <w:rPr>
          <w:rFonts w:eastAsia="仿宋_GB2312"/>
          <w:color w:val="auto"/>
          <w:sz w:val="24"/>
        </w:rPr>
        <w:t>/O</w:t>
      </w:r>
      <w:r>
        <w:rPr>
          <w:rFonts w:hint="eastAsia" w:eastAsia="仿宋_GB2312"/>
          <w:color w:val="auto"/>
          <w:sz w:val="24"/>
        </w:rPr>
        <w:t>-</w:t>
      </w:r>
      <w:r>
        <w:rPr>
          <w:rFonts w:eastAsia="仿宋_GB2312"/>
          <w:color w:val="auto"/>
          <w:sz w:val="24"/>
        </w:rPr>
        <w:t>MBBR</w:t>
      </w:r>
      <w:r>
        <w:rPr>
          <w:rFonts w:hint="eastAsia" w:eastAsia="仿宋_GB2312"/>
          <w:color w:val="auto"/>
          <w:sz w:val="24"/>
        </w:rPr>
        <w:t>+</w:t>
      </w:r>
      <w:r>
        <w:rPr>
          <w:rFonts w:eastAsia="仿宋_GB2312"/>
          <w:color w:val="auto"/>
          <w:sz w:val="24"/>
        </w:rPr>
        <w:t>过滤</w:t>
      </w:r>
      <w:r>
        <w:rPr>
          <w:rFonts w:hint="eastAsia" w:eastAsia="仿宋_GB2312"/>
          <w:color w:val="auto"/>
          <w:sz w:val="24"/>
        </w:rPr>
        <w:t>”工艺</w:t>
      </w:r>
      <w:r>
        <w:rPr>
          <w:rFonts w:eastAsia="仿宋_GB2312"/>
          <w:color w:val="auto"/>
          <w:sz w:val="24"/>
        </w:rPr>
        <w:t>，包括以下几个工艺单元：</w:t>
      </w:r>
      <w:bookmarkStart w:id="8" w:name="_Hlk101275007"/>
      <w:r>
        <w:rPr>
          <w:rFonts w:eastAsia="仿宋_GB2312"/>
          <w:color w:val="auto"/>
          <w:sz w:val="24"/>
        </w:rPr>
        <w:t>预脱硝区、厌氧区、缺氧区、好氧区、沉淀区、过滤区</w:t>
      </w:r>
      <w:r>
        <w:rPr>
          <w:rFonts w:hint="eastAsia" w:eastAsia="仿宋_GB2312"/>
          <w:color w:val="auto"/>
          <w:sz w:val="24"/>
        </w:rPr>
        <w:t>、</w:t>
      </w:r>
      <w:r>
        <w:rPr>
          <w:rFonts w:eastAsia="仿宋_GB2312"/>
          <w:color w:val="auto"/>
          <w:sz w:val="24"/>
        </w:rPr>
        <w:t>清水区和紫外消毒</w:t>
      </w:r>
      <w:bookmarkEnd w:id="8"/>
      <w:r>
        <w:rPr>
          <w:rFonts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生活污水进入一体化</w:t>
      </w:r>
      <w:r>
        <w:rPr>
          <w:rFonts w:eastAsia="仿宋_GB2312"/>
          <w:color w:val="auto"/>
          <w:sz w:val="24"/>
        </w:rPr>
        <w:t>污水处理设备</w:t>
      </w:r>
      <w:r>
        <w:rPr>
          <w:rFonts w:hint="eastAsia" w:eastAsia="仿宋_GB2312"/>
          <w:color w:val="auto"/>
          <w:sz w:val="24"/>
        </w:rPr>
        <w:t>前须经</w:t>
      </w:r>
      <w:r>
        <w:rPr>
          <w:rFonts w:eastAsia="仿宋_GB2312"/>
          <w:color w:val="auto"/>
          <w:sz w:val="24"/>
        </w:rPr>
        <w:t>必要的预处理</w:t>
      </w:r>
      <w:r>
        <w:rPr>
          <w:rFonts w:hint="eastAsia" w:eastAsia="仿宋_GB2312"/>
          <w:color w:val="auto"/>
          <w:sz w:val="24"/>
        </w:rPr>
        <w:t>，</w:t>
      </w:r>
      <w:r>
        <w:rPr>
          <w:rFonts w:eastAsia="仿宋_GB2312"/>
          <w:color w:val="auto"/>
          <w:sz w:val="24"/>
        </w:rPr>
        <w:t>预处理包括格栅</w:t>
      </w:r>
      <w:r>
        <w:rPr>
          <w:rFonts w:hint="eastAsia" w:eastAsia="仿宋_GB2312"/>
          <w:color w:val="auto"/>
          <w:sz w:val="24"/>
        </w:rPr>
        <w:t>除</w:t>
      </w:r>
      <w:r>
        <w:rPr>
          <w:rFonts w:eastAsia="仿宋_GB2312"/>
          <w:color w:val="auto"/>
          <w:sz w:val="24"/>
        </w:rPr>
        <w:t>渣、调节池均质均量等。本项目</w:t>
      </w:r>
      <w:r>
        <w:rPr>
          <w:rFonts w:hint="eastAsia" w:eastAsia="仿宋_GB2312"/>
          <w:color w:val="auto"/>
          <w:sz w:val="24"/>
        </w:rPr>
        <w:t>原污水经</w:t>
      </w:r>
      <w:r>
        <w:rPr>
          <w:rFonts w:eastAsia="仿宋_GB2312"/>
          <w:color w:val="auto"/>
          <w:sz w:val="24"/>
        </w:rPr>
        <w:t>管网汇集后首先</w:t>
      </w:r>
      <w:r>
        <w:rPr>
          <w:rFonts w:hint="eastAsia" w:eastAsia="仿宋_GB2312"/>
          <w:color w:val="auto"/>
          <w:sz w:val="24"/>
        </w:rPr>
        <w:t>进入污水</w:t>
      </w:r>
      <w:r>
        <w:rPr>
          <w:rFonts w:eastAsia="仿宋_GB2312"/>
          <w:color w:val="auto"/>
          <w:sz w:val="24"/>
        </w:rPr>
        <w:t>格栅渠</w:t>
      </w:r>
      <w:r>
        <w:rPr>
          <w:rFonts w:hint="eastAsia" w:eastAsia="仿宋_GB2312"/>
          <w:color w:val="auto"/>
          <w:sz w:val="24"/>
        </w:rPr>
        <w:t>，</w:t>
      </w:r>
      <w:r>
        <w:rPr>
          <w:rFonts w:eastAsia="仿宋_GB2312"/>
          <w:color w:val="auto"/>
          <w:sz w:val="24"/>
        </w:rPr>
        <w:t>通过格栅去除污水中</w:t>
      </w:r>
      <w:r>
        <w:rPr>
          <w:rFonts w:hint="eastAsia" w:eastAsia="仿宋_GB2312"/>
          <w:color w:val="auto"/>
          <w:sz w:val="24"/>
        </w:rPr>
        <w:t>较大</w:t>
      </w:r>
      <w:r>
        <w:rPr>
          <w:rFonts w:eastAsia="仿宋_GB2312"/>
          <w:color w:val="auto"/>
          <w:sz w:val="24"/>
        </w:rPr>
        <w:t>的漂浮物</w:t>
      </w:r>
      <w:r>
        <w:rPr>
          <w:rFonts w:hint="eastAsia" w:eastAsia="仿宋_GB2312"/>
          <w:color w:val="auto"/>
          <w:sz w:val="24"/>
        </w:rPr>
        <w:t>，然后</w:t>
      </w:r>
      <w:r>
        <w:rPr>
          <w:rFonts w:eastAsia="仿宋_GB2312"/>
          <w:color w:val="auto"/>
          <w:sz w:val="24"/>
        </w:rPr>
        <w:t>流</w:t>
      </w:r>
      <w:r>
        <w:rPr>
          <w:rFonts w:hint="eastAsia" w:eastAsia="仿宋_GB2312"/>
          <w:color w:val="auto"/>
          <w:sz w:val="24"/>
        </w:rPr>
        <w:t>至</w:t>
      </w:r>
      <w:r>
        <w:rPr>
          <w:rFonts w:eastAsia="仿宋_GB2312"/>
          <w:color w:val="auto"/>
          <w:sz w:val="24"/>
        </w:rPr>
        <w:t>调节池</w:t>
      </w:r>
      <w:r>
        <w:rPr>
          <w:rFonts w:hint="eastAsia" w:eastAsia="仿宋_GB2312"/>
          <w:color w:val="auto"/>
          <w:sz w:val="24"/>
        </w:rPr>
        <w:t>，</w:t>
      </w:r>
      <w:r>
        <w:rPr>
          <w:rFonts w:eastAsia="仿宋_GB2312"/>
          <w:color w:val="auto"/>
          <w:sz w:val="24"/>
        </w:rPr>
        <w:t>调节污水的水质、水量。</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调节池</w:t>
      </w:r>
      <w:r>
        <w:rPr>
          <w:rFonts w:eastAsia="仿宋_GB2312"/>
          <w:color w:val="auto"/>
          <w:sz w:val="24"/>
        </w:rPr>
        <w:t>中的生活污水</w:t>
      </w:r>
      <w:r>
        <w:rPr>
          <w:rFonts w:hint="eastAsia" w:eastAsia="仿宋_GB2312"/>
          <w:color w:val="auto"/>
          <w:sz w:val="24"/>
        </w:rPr>
        <w:t>用</w:t>
      </w:r>
      <w:r>
        <w:rPr>
          <w:rFonts w:eastAsia="仿宋_GB2312"/>
          <w:color w:val="auto"/>
          <w:sz w:val="24"/>
        </w:rPr>
        <w:t>提升泵泵入一体化污水处理设备</w:t>
      </w:r>
      <w:r>
        <w:rPr>
          <w:rFonts w:hint="eastAsia" w:eastAsia="仿宋_GB2312"/>
          <w:color w:val="auto"/>
          <w:sz w:val="24"/>
        </w:rPr>
        <w:t>，首先进入</w:t>
      </w:r>
      <w:r>
        <w:rPr>
          <w:rFonts w:eastAsia="仿宋_GB2312"/>
          <w:color w:val="auto"/>
          <w:sz w:val="24"/>
        </w:rPr>
        <w:t>预脱硝区</w:t>
      </w:r>
      <w:r>
        <w:rPr>
          <w:rFonts w:hint="eastAsia" w:eastAsia="仿宋_GB2312"/>
          <w:color w:val="auto"/>
          <w:sz w:val="24"/>
        </w:rPr>
        <w:t>，其作用在于接收来自前端的污水（即原水）和沉淀区的回流污泥，在缺氧条件下预脱硝区充分去除回流污泥中的硝酸盐和氧，营造了厌氧区的严格厌氧环境，强化聚磷菌厌氧释磷的效果。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在预脱硝区反硝化后的含污泥混合液，进入厌氧区进行生物释磷反应；在严格厌氧环境下，聚磷菌释放磷的效率大大提高，确保其在好氧区的吸磷效率得到充分提升。</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经过厌氧区释磷后的含污泥混合液，进入缺氧区与从好氧区回流至缺氧区的硝化液进行反硝化反应；反硝化细菌在溶解氧浓度极低的情况下利用硝酸盐作为电子受体，将硝酸盐还原成氮气并排出系统，从而实现污水的脱氮过程。同时反硝化反应提供的部分碱度，补充了后续的好氧区硝化反应所需的碱度。</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在缺氧区反硝化后的含污泥混合液，进入好氧区利用附着在流化的软性生物量递增海绵体填料上的种类繁多、生物体量大的硝化菌在溶解氧的作用下使氨氮得到彻底硝化，转换成硝酸盐氮；同时部分硝化液从好氧区回流至缺氧区，控制硝化液的回流比，提高反硝化去除效果。聚磷菌分解贮存在细胞内的PHA（聚羟基烷酸），完成摄磷，形成高浓度的含磷污泥。由此，好氧区主要实现了剩余有机物的降解、氨氮的硝化和过量摄磷的功能。</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经过好氧区后的含污泥混合液，进入沉淀区沉淀并分离出上清液和污泥，其中，上清液进入过滤区进一步过滤去除了沉淀之后的SS，同时利用填料上微生物可进一步降解残余的有机物、总磷等污染物。部分污泥从沉淀区回流至预脱硝区，维持系统的活性污泥浓度，剩余污泥外排至</w:t>
      </w:r>
      <w:r>
        <w:rPr>
          <w:rFonts w:eastAsia="仿宋_GB2312"/>
          <w:color w:val="auto"/>
          <w:sz w:val="24"/>
        </w:rPr>
        <w:t>污泥池</w:t>
      </w:r>
      <w:r>
        <w:rPr>
          <w:rFonts w:hint="eastAsia" w:eastAsia="仿宋_GB2312"/>
          <w:color w:val="auto"/>
          <w:sz w:val="24"/>
        </w:rPr>
        <w:t>，实现生物除磷效果。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软性固定填料质量轻、亲水性好，反冲洗随水流化，不易形成死区，并固定在填料挡层板中，普通穿孔曝气过程能使填料充分搅拌，软性填料通过气体的挤压，以及填料之间的碰撞，完成了泥水混合物与填料的分离（清洗），具有能耗低的特点。软性固定填料有着极好的生物亲和性，其墙体构造提供巨大的表面积，吸附SS能力强。过滤后的清水进入清水区，经紫外消毒后达标排放。</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rPr>
        <w:t>沉淀区产生</w:t>
      </w:r>
      <w:r>
        <w:rPr>
          <w:rFonts w:eastAsia="仿宋_GB2312"/>
          <w:color w:val="auto"/>
          <w:sz w:val="24"/>
        </w:rPr>
        <w:t>的剩余污泥</w:t>
      </w:r>
      <w:r>
        <w:rPr>
          <w:rFonts w:hint="eastAsia" w:eastAsia="仿宋_GB2312"/>
          <w:color w:val="auto"/>
          <w:sz w:val="24"/>
        </w:rPr>
        <w:t>定期</w:t>
      </w:r>
      <w:r>
        <w:rPr>
          <w:rFonts w:eastAsia="仿宋_GB2312"/>
          <w:color w:val="auto"/>
          <w:sz w:val="24"/>
        </w:rPr>
        <w:t>排至外部污泥池，沉淀池</w:t>
      </w:r>
      <w:r>
        <w:rPr>
          <w:rFonts w:hint="eastAsia" w:eastAsia="仿宋_GB2312"/>
          <w:color w:val="auto"/>
          <w:sz w:val="24"/>
        </w:rPr>
        <w:t>上部</w:t>
      </w:r>
      <w:r>
        <w:rPr>
          <w:rFonts w:eastAsia="仿宋_GB2312"/>
          <w:color w:val="auto"/>
          <w:sz w:val="24"/>
        </w:rPr>
        <w:t>浮渣</w:t>
      </w:r>
      <w:r>
        <w:rPr>
          <w:rFonts w:hint="eastAsia" w:eastAsia="仿宋_GB2312"/>
          <w:color w:val="auto"/>
          <w:sz w:val="24"/>
        </w:rPr>
        <w:t>由撇渣装置定期撇渣</w:t>
      </w:r>
      <w:r>
        <w:rPr>
          <w:rFonts w:eastAsia="仿宋_GB2312"/>
          <w:color w:val="auto"/>
          <w:sz w:val="24"/>
        </w:rPr>
        <w:t>，外排至设</w:t>
      </w:r>
      <w:r>
        <w:rPr>
          <w:rFonts w:eastAsia="仿宋_GB2312"/>
          <w:color w:val="auto"/>
          <w:sz w:val="24"/>
          <w:highlight w:val="none"/>
        </w:rPr>
        <w:t>备前端的</w:t>
      </w:r>
      <w:r>
        <w:rPr>
          <w:rFonts w:hint="eastAsia" w:eastAsia="仿宋_GB2312"/>
          <w:color w:val="auto"/>
          <w:sz w:val="24"/>
          <w:highlight w:val="none"/>
        </w:rPr>
        <w:t>调节池</w:t>
      </w:r>
      <w:r>
        <w:rPr>
          <w:rFonts w:eastAsia="仿宋_GB2312"/>
          <w:color w:val="auto"/>
          <w:sz w:val="24"/>
          <w:highlight w:val="none"/>
        </w:rPr>
        <w:t>；</w:t>
      </w:r>
      <w:r>
        <w:rPr>
          <w:rFonts w:hint="eastAsia" w:eastAsia="仿宋_GB2312"/>
          <w:color w:val="auto"/>
          <w:sz w:val="24"/>
          <w:highlight w:val="none"/>
        </w:rPr>
        <w:t>过滤区定期</w:t>
      </w:r>
      <w:r>
        <w:rPr>
          <w:rFonts w:eastAsia="仿宋_GB2312"/>
          <w:color w:val="auto"/>
          <w:sz w:val="24"/>
          <w:highlight w:val="none"/>
        </w:rPr>
        <w:t>气水联合</w:t>
      </w:r>
      <w:r>
        <w:rPr>
          <w:rFonts w:hint="eastAsia" w:eastAsia="仿宋_GB2312"/>
          <w:color w:val="auto"/>
          <w:sz w:val="24"/>
          <w:highlight w:val="none"/>
        </w:rPr>
        <w:t>双重</w:t>
      </w:r>
      <w:r>
        <w:rPr>
          <w:rFonts w:eastAsia="仿宋_GB2312"/>
          <w:color w:val="auto"/>
          <w:sz w:val="24"/>
          <w:highlight w:val="none"/>
        </w:rPr>
        <w:t>反冲洗，</w:t>
      </w:r>
      <w:r>
        <w:rPr>
          <w:rFonts w:hint="eastAsia" w:eastAsia="仿宋_GB2312"/>
          <w:color w:val="auto"/>
          <w:sz w:val="24"/>
          <w:highlight w:val="none"/>
        </w:rPr>
        <w:t>反洗产水排入设备</w:t>
      </w:r>
      <w:r>
        <w:rPr>
          <w:rFonts w:eastAsia="仿宋_GB2312"/>
          <w:color w:val="auto"/>
          <w:sz w:val="24"/>
          <w:highlight w:val="none"/>
        </w:rPr>
        <w:t>前端的调节池</w:t>
      </w:r>
      <w:r>
        <w:rPr>
          <w:rFonts w:hint="eastAsia" w:eastAsia="仿宋_GB2312"/>
          <w:color w:val="auto"/>
          <w:sz w:val="24"/>
          <w:highlight w:val="none"/>
        </w:rPr>
        <w:t>。</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此外，一体化设备配置碳源加药装置和PAC除磷装置，可根据进水水质调节加药量。</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eastAsia="仿宋_GB2312"/>
          <w:b/>
          <w:bCs/>
          <w:color w:val="auto"/>
          <w:sz w:val="24"/>
          <w:highlight w:val="none"/>
        </w:rPr>
        <w:t>4）</w:t>
      </w:r>
      <w:r>
        <w:rPr>
          <w:rFonts w:hint="eastAsia" w:eastAsia="仿宋_GB2312"/>
          <w:b/>
          <w:bCs/>
          <w:color w:val="auto"/>
          <w:sz w:val="24"/>
          <w:highlight w:val="none"/>
        </w:rPr>
        <w:t>一体化设备各功能区设计技术参数</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本工程设计 1套污水处理一体化设备。一体化设备的设计水量为20 m</w:t>
      </w:r>
      <w:r>
        <w:rPr>
          <w:rFonts w:eastAsia="仿宋_GB2312"/>
          <w:color w:val="auto"/>
          <w:sz w:val="24"/>
          <w:highlight w:val="none"/>
          <w:vertAlign w:val="superscript"/>
        </w:rPr>
        <w:t>3</w:t>
      </w:r>
      <w:r>
        <w:rPr>
          <w:rFonts w:eastAsia="仿宋_GB2312"/>
          <w:color w:val="auto"/>
          <w:sz w:val="24"/>
          <w:highlight w:val="none"/>
        </w:rPr>
        <w:t>/d，包含</w:t>
      </w:r>
      <w:r>
        <w:rPr>
          <w:rFonts w:hint="eastAsia" w:eastAsia="仿宋_GB2312"/>
          <w:color w:val="auto"/>
          <w:sz w:val="24"/>
          <w:highlight w:val="none"/>
        </w:rPr>
        <w:t>预脱硝区、厌氧区、缺氧区、好氧区、沉淀区、过滤区、清水区和紫外消毒。</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设计流量： Q＝20m</w:t>
      </w:r>
      <w:r>
        <w:rPr>
          <w:rFonts w:eastAsia="仿宋_GB2312"/>
          <w:color w:val="auto"/>
          <w:sz w:val="24"/>
          <w:highlight w:val="none"/>
          <w:vertAlign w:val="superscript"/>
        </w:rPr>
        <w:t>3</w:t>
      </w:r>
      <w:r>
        <w:rPr>
          <w:rFonts w:eastAsia="仿宋_GB2312"/>
          <w:color w:val="auto"/>
          <w:sz w:val="24"/>
          <w:highlight w:val="none"/>
        </w:rPr>
        <w:t>/d</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功 能：生物除磷脱氮，同时降解有机污染物质，达到预期的处</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理目标，紫外消毒。</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设计参数：①预脱硝区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主要功能：营造厌氧区的严格厌氧环境，强化聚磷菌厌氧释磷的效果。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◇溶解氧浓度：0.2～0.5mg/L；</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②厌氧区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主要功能：与好氧区配合达到生物除磷效果。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◇溶解氧浓度：0.1～0.2mg/L；</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③缺氧区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主要功能：利用原水中有机物实现反硝化脱氮效果。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◇溶解氧浓度：0.2～0.5mg/L；</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搅拌方式：间歇气搅拌。</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④好氧区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主要功能：主要实现有机物降解、氨氮硝化和过量摄磷的效果。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溶解氧浓度：2.0～4.0mg/L；</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污泥浓度按5000～8000mg/L设计（包括流化填料上的污泥浓度）；</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悬浮填料：生物量递增海绵体填料；</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⑤沉淀区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主要功能：泥水分离，保证后续软性固定过滤区过滤效果。部分污泥通过气提方式回流至预脱硝区，维持整个系统的污泥浓度，剩余污泥向外排放，实现部分生物除磷效果。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 xml:space="preserve">◇表面负荷=0.6～1.2m3/m2·h。 </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⑥过滤区</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主要功能：吸附SS以及降低其它部分有机污染物质。经软性固定填料过滤区过滤后的清水进入清水区，消毒后达标排放。</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主要参数：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◇单位时间最大水流速≤3.2m/h。</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5）</w:t>
      </w:r>
      <w:r>
        <w:rPr>
          <w:rFonts w:hint="eastAsia" w:eastAsia="仿宋_GB2312"/>
          <w:b/>
          <w:bCs/>
          <w:color w:val="auto"/>
          <w:sz w:val="24"/>
        </w:rPr>
        <w:t>一体化设备其他工艺参数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①</w:t>
      </w:r>
      <w:r>
        <w:rPr>
          <w:rFonts w:eastAsia="仿宋_GB2312"/>
          <w:color w:val="auto"/>
          <w:sz w:val="24"/>
        </w:rPr>
        <w:t>生化停留时间</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预脱硝区不少于0.6h，厌氧区不少于1.0h，缺氧区不少于4h，好氧区不小于4.8h，总生化停留时间不小于10.4h。</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②</w:t>
      </w:r>
      <w:r>
        <w:rPr>
          <w:rFonts w:eastAsia="仿宋_GB2312"/>
          <w:color w:val="auto"/>
          <w:sz w:val="24"/>
        </w:rPr>
        <w:t>总泥龄5～15d。</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③</w:t>
      </w:r>
      <w:r>
        <w:rPr>
          <w:rFonts w:eastAsia="仿宋_GB2312"/>
          <w:color w:val="auto"/>
          <w:sz w:val="24"/>
        </w:rPr>
        <w:t>混合液浓度MLSS=5000～8000mg/L</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④</w:t>
      </w:r>
      <w:r>
        <w:rPr>
          <w:rFonts w:eastAsia="仿宋_GB2312"/>
          <w:color w:val="auto"/>
          <w:sz w:val="24"/>
        </w:rPr>
        <w:t>硝化液回流比100%～300%，污泥回流比50%～200%。</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⑤</w:t>
      </w:r>
      <w:r>
        <w:rPr>
          <w:rFonts w:eastAsia="仿宋_GB2312"/>
          <w:color w:val="auto"/>
          <w:sz w:val="24"/>
        </w:rPr>
        <w:t>BOD污泥负荷Fw=0.12～0.21kgBOD5/kgMLSS·d，BOD容积负荷Fw=0.78～1.37kgBOD5/m3·d</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⑥</w:t>
      </w:r>
      <w:r>
        <w:rPr>
          <w:rFonts w:eastAsia="仿宋_GB2312"/>
          <w:color w:val="auto"/>
          <w:sz w:val="24"/>
        </w:rPr>
        <w:t>气水比17:1</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⑦</w:t>
      </w:r>
      <w:r>
        <w:rPr>
          <w:rFonts w:eastAsia="仿宋_GB2312"/>
          <w:color w:val="auto"/>
          <w:sz w:val="24"/>
        </w:rPr>
        <w:t>沉淀池的表面水力负荷：0.6～</w:t>
      </w:r>
      <w:r>
        <w:rPr>
          <w:rFonts w:hint="eastAsia" w:eastAsia="仿宋_GB2312"/>
          <w:color w:val="auto"/>
          <w:sz w:val="24"/>
        </w:rPr>
        <w:t>1.2</w:t>
      </w:r>
      <w:r>
        <w:rPr>
          <w:rFonts w:eastAsia="仿宋_GB2312"/>
          <w:color w:val="auto"/>
          <w:sz w:val="24"/>
        </w:rPr>
        <w:t>m3/m2·h</w:t>
      </w:r>
      <w:r>
        <w:rPr>
          <w:rFonts w:hint="eastAsia" w:eastAsia="仿宋_GB2312"/>
          <w:color w:val="auto"/>
          <w:sz w:val="24"/>
        </w:rPr>
        <w:t>。</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eastAsia="仿宋_GB2312"/>
          <w:color w:val="auto"/>
          <w:sz w:val="24"/>
        </w:rPr>
        <w:t>⑧</w:t>
      </w:r>
      <w:r>
        <w:rPr>
          <w:rFonts w:eastAsia="仿宋_GB2312"/>
          <w:color w:val="auto"/>
          <w:sz w:val="24"/>
        </w:rPr>
        <w:t>滤池的过滤速度：≤3.2m/h</w:t>
      </w:r>
      <w:r>
        <w:rPr>
          <w:rFonts w:hint="eastAsia" w:eastAsia="仿宋_GB2312"/>
          <w:color w:val="auto"/>
          <w:sz w:val="24"/>
        </w:rPr>
        <w:t>。</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6）总平面图布置</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符合</w:t>
      </w:r>
      <w:r>
        <w:rPr>
          <w:rFonts w:hint="eastAsia" w:eastAsia="仿宋_GB2312"/>
          <w:color w:val="auto"/>
          <w:sz w:val="24"/>
        </w:rPr>
        <w:t>收费站</w:t>
      </w:r>
      <w:r>
        <w:rPr>
          <w:rFonts w:eastAsia="仿宋_GB2312"/>
          <w:color w:val="auto"/>
          <w:sz w:val="24"/>
        </w:rPr>
        <w:t>内功能分区及布局和环境保护要求，充分利用现状绿地及公用设施；严格执行现行有关规范、规定和标准，在满足生产工艺流程的前提下，力求装置集中，管线短捷，物流顺畅，节省用地；功能分区明确，方便生产管理，同时兼顾工厂近远期的发展。具体详见体厂区“总平面布置图”，破坏的绿化采用草皮补植。</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7）剩余污泥处置</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本项目建成投产后，主要运输物料为污泥，利用现状污泥储存系统，定期采用吸粪车外运至指定污水处理厂脱水机房，所需运输车辆均依托社会运输车辆解决。</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8）供配电系统</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①</w:t>
      </w:r>
      <w:r>
        <w:rPr>
          <w:rFonts w:eastAsia="仿宋_GB2312"/>
          <w:color w:val="auto"/>
          <w:sz w:val="24"/>
        </w:rPr>
        <w:t>电力负荷、负荷性质</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污水处理站规模为20m</w:t>
      </w:r>
      <w:r>
        <w:rPr>
          <w:rFonts w:eastAsia="仿宋_GB2312"/>
          <w:color w:val="auto"/>
          <w:sz w:val="24"/>
          <w:highlight w:val="none"/>
          <w:vertAlign w:val="superscript"/>
        </w:rPr>
        <w:t>3</w:t>
      </w:r>
      <w:r>
        <w:rPr>
          <w:rFonts w:eastAsia="仿宋_GB2312"/>
          <w:color w:val="auto"/>
          <w:sz w:val="24"/>
          <w:highlight w:val="none"/>
        </w:rPr>
        <w:t>/d，根据工艺专业提供的用电设备安装及工作容量，用需要系数法进行负荷计算。其结果如下：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装机功率：1.28kW，运行功率：0.7kW。</w:t>
      </w:r>
      <w:r>
        <w:rPr>
          <w:rFonts w:eastAsia="仿宋_GB2312"/>
          <w:color w:val="auto"/>
          <w:sz w:val="24"/>
          <w:highlight w:val="none"/>
        </w:rPr>
        <w:t>本工程建设规模为20m</w:t>
      </w:r>
      <w:r>
        <w:rPr>
          <w:rFonts w:eastAsia="仿宋_GB2312"/>
          <w:color w:val="auto"/>
          <w:sz w:val="24"/>
          <w:highlight w:val="none"/>
          <w:vertAlign w:val="superscript"/>
        </w:rPr>
        <w:t>3</w:t>
      </w:r>
      <w:r>
        <w:rPr>
          <w:rFonts w:eastAsia="仿宋_GB2312"/>
          <w:color w:val="auto"/>
          <w:sz w:val="24"/>
          <w:highlight w:val="none"/>
        </w:rPr>
        <w:t>/d，为IV 类污水处理工程，电力负荷为三级。</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②</w:t>
      </w:r>
      <w:r>
        <w:rPr>
          <w:rFonts w:eastAsia="仿宋_GB2312"/>
          <w:color w:val="auto"/>
          <w:sz w:val="24"/>
          <w:highlight w:val="none"/>
        </w:rPr>
        <w:t>供电电源</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本工程采用一路 0.4kV 电源供电，通过低压电缆埋地引入现场配电柜，电缆长度暂定为0.1km。</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③</w:t>
      </w:r>
      <w:r>
        <w:rPr>
          <w:rFonts w:eastAsia="仿宋_GB2312"/>
          <w:color w:val="auto"/>
          <w:sz w:val="24"/>
          <w:highlight w:val="none"/>
        </w:rPr>
        <w:t>供电电压</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低压配电电压采用380V，低压配电的控制电压为AC220V，照明电压为AC220V。</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ascii="宋体" w:hAnsi="宋体" w:cs="宋体"/>
          <w:color w:val="auto"/>
          <w:sz w:val="24"/>
          <w:highlight w:val="none"/>
        </w:rPr>
        <w:t>④</w:t>
      </w:r>
      <w:r>
        <w:rPr>
          <w:rFonts w:eastAsia="仿宋_GB2312"/>
          <w:color w:val="auto"/>
          <w:sz w:val="24"/>
          <w:highlight w:val="none"/>
        </w:rPr>
        <w:t>主要设备选型</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低压配电柜（AP）内配备优质元器件，其元器件以模块化组合式为主，其互换性强，以便于器件的更换及整定值的调整。柜内主要电气元件采用国产知名品牌。低压配电线路一般采用YJV-0.6/1kV 型电力电缆，控制电缆采用KVV-0.45/0.75kV 型。</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电源回路方案为断路器，主控制回路采用断路器+接触器+热继电器的方案。</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⑤</w:t>
      </w:r>
      <w:r>
        <w:rPr>
          <w:rFonts w:eastAsia="仿宋_GB2312"/>
          <w:color w:val="auto"/>
          <w:sz w:val="24"/>
        </w:rPr>
        <w:t>传动及控制</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交流低压小容量电机采用断路器、接触器及热继电器进行起动及控制。</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低压配电柜（AP）设机旁－检修－集中开关，其中机旁状态用于调试或自控系统故障时维持生产，集中状态为主要生产操作方式。</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控制项目为提升泵的连锁自动启停、一体化设备反冲洗的时序控制等。</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⑥</w:t>
      </w:r>
      <w:r>
        <w:rPr>
          <w:rFonts w:eastAsia="仿宋_GB2312"/>
          <w:color w:val="auto"/>
          <w:sz w:val="24"/>
        </w:rPr>
        <w:t>线路敷设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站区内室外配电线材采用沿电缆井、穿管相结合的敷设方式，在穿路及基础处穿钢管保护，一体化设备内采用电缆桥架与穿镀锌钢管明敷相结合的方式。</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照明和插座分别配线采用穿管沿顶、沿墙暗敷。</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⑦</w:t>
      </w:r>
      <w:r>
        <w:rPr>
          <w:rFonts w:eastAsia="仿宋_GB2312"/>
          <w:color w:val="auto"/>
          <w:sz w:val="24"/>
        </w:rPr>
        <w:t>照明</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在加药间内采用荧光灯，门口采用吸顶节能灯。</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⑧</w:t>
      </w:r>
      <w:r>
        <w:rPr>
          <w:rFonts w:eastAsia="仿宋_GB2312"/>
          <w:color w:val="auto"/>
          <w:sz w:val="24"/>
        </w:rPr>
        <w:t>防雷接地</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本工程预计年雷击次数为0.0172，站内建筑物达不到三类防雷标准，为安全考虑按第三类防雷建筑物设防。建筑物的防雷装置满足防直击雷及防闪电电涌侵入。</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由室外引入建筑物内的供电回路，采用防止过电压措施。</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电气设备的工作接地、保护接地采用TN-S 系统，接地电阻值小于1Ω，电气设备正常不带电的金属外壳,金属构架、管道等均应可靠接地。</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⑨</w:t>
      </w:r>
      <w:r>
        <w:rPr>
          <w:rFonts w:eastAsia="仿宋_GB2312"/>
          <w:color w:val="auto"/>
          <w:sz w:val="24"/>
        </w:rPr>
        <w:t>防火安全</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本设计执行“预防为主、消防结合”的消防原则及有关防火方面的规定，在电力设施设计中采用了一系列防范措施，以消除隐患，防止和减少火灾的危险, 确保人身安全及设备安全。</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电气设备安装完成后，采用防火材料对电气孔洞进行封堵，并采取防火隔断措施，以防火灾蔓延。</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8）自控及仪表</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①</w:t>
      </w:r>
      <w:r>
        <w:rPr>
          <w:rFonts w:eastAsia="仿宋_GB2312"/>
          <w:color w:val="auto"/>
          <w:sz w:val="24"/>
        </w:rPr>
        <w:t>设计依据</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《自动化仪表选型设计规定》 HG/T20507-2014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《仪表供电设计规定》 HG/T20509-2014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《信号报警、安全联锁系统设计规定》 HG/T20511-2014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《仪表配管配线设计规定》 HG/T20512-2014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《可编程控制器系统工程设计规定》 HG/T20700-2014</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《自动化仪表工程施工及质量验收规范》 GB50093-2013</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②</w:t>
      </w:r>
      <w:r>
        <w:rPr>
          <w:rFonts w:eastAsia="仿宋_GB2312"/>
          <w:color w:val="auto"/>
          <w:sz w:val="24"/>
        </w:rPr>
        <w:t>设计原则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根据委托书和设计合同关于提高生产工艺过程的生产自动化水平的要求，以及工艺专业所提出的生产过程对检测和控制的要求，在充分吸收和考虑目前污水处理行业的自动化实践经验的基础上，确定自动化系统的设计原则为：</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●仪表稳定可靠，切实可行；</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●合理采用当今国内外自动化技术领域成熟的新技术及新成果；</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●有利于稳定工艺生产过程，提高设备效率，提高产品质量和保证工艺过程的技术经济指标，降低能耗，提高劳动生产率；</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●仪表选型充分考虑智能化和信息传输网络的标准化，提高生产管理的自动化水平。</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③</w:t>
      </w:r>
      <w:r>
        <w:rPr>
          <w:rFonts w:eastAsia="仿宋_GB2312"/>
          <w:color w:val="auto"/>
          <w:sz w:val="24"/>
        </w:rPr>
        <w:t>控制系统方案</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本工程系统主要有现场 PLC 控制站、数据通讯系统、人机接口单元、电源等组成。系统具备开放的体系结构，可以提供多层开放数据接口。</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硬件系统在恶劣的工业现场具有高度的可靠性、维修方便、工艺先进。支持多种现场总线标准，以便适应未来的扩充需要。</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系统的参数、报警、自诊断及其他管理功能高度集中在显示器上显示，控制系统在功能和物理上真正分散。</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网络结构可靠性、开放性及先进性。在现场信号处理层，采用现场总线连接中央控制单元和各现场信号处理模块。</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本系统包括对污水处理的过程实现过程监控和关键工艺参数的优化，主要对各工艺段设备状态的监测与安全连锁控制、过程参数和工艺参数监测。各工艺主要设备的状态和过程（工艺）参数在监控画面上一目了然。</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④</w:t>
      </w:r>
      <w:r>
        <w:rPr>
          <w:rFonts w:eastAsia="仿宋_GB2312"/>
          <w:color w:val="auto"/>
          <w:sz w:val="24"/>
        </w:rPr>
        <w:t>控制系统结构与配置设计</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根据工艺及流程配置设计，控制系统由3 个控制站，与一个主控制站组成。控制层提供了生产工艺数据采集、过程数据控制处理、生产设备信息采集与实时控制等功能，主要由PLC 站与HMI 组成。</w:t>
      </w:r>
      <w:r>
        <w:rPr>
          <w:rFonts w:hint="eastAsia" w:eastAsia="仿宋_GB2312"/>
          <w:color w:val="auto"/>
          <w:sz w:val="24"/>
        </w:rPr>
        <w:t>PLC 采用西门子、ABB、施耐德或同等品牌系列PLC，HMI 采用计算机及触摸屏相结合的方式，上位机软件采用监控软件，触摸屏软件采用触摸屏厂家提供的编程软件平台。</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各站之间以及各站与主控制站之间，均采用PROFIBUS 或以太网通讯的方式进行数据传输及存储。控制站分别是：</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●一体化设备1 控制站；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●PAC 加药系统控制柜；</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●一体化设备外的公辅设备主控制站；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具体详见自控拓扑图。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在一体化设备内PLC 柜设置10 寸触摸屏1 台，它们通过工业以太网络实现数据的交换和共享。整个控制系统网络设计时，充分考虑网络通讯的可靠性、稳定性和可扩展性。</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触摸屏具有自己的操作画面，对各自区域的工艺流程和电气设备分别进行监控，各站之间通过计算机网络进行信息交换与协调。</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⑤</w:t>
      </w:r>
      <w:r>
        <w:rPr>
          <w:rFonts w:eastAsia="仿宋_GB2312"/>
          <w:color w:val="auto"/>
          <w:sz w:val="24"/>
        </w:rPr>
        <w:t>控制系统功能设计</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污水处理站自动化控制系统在总体上设有两种相对独立、互为备用的控制方式，手动、自动操作模式：</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●手动控制方式</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该控制方式独立于计算机控制系统，操作人员可以在现场操作箱或触摸屏上对现场设备进行硬手动。在设备调试、设备检修及自控系统调试或维护的情况下，该控制方式能够确保满足现场的实际需要，以维持基本生产的需要。</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●自动控制方式</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操作员可以在触摸屏上远程对现场设备操作。在电气设备、仪器仪表运行正常的情况下，该控制方式可以使整个生产过程取得稳定运行的效果。</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⑥</w:t>
      </w:r>
      <w:r>
        <w:rPr>
          <w:rFonts w:eastAsia="仿宋_GB2312"/>
          <w:color w:val="auto"/>
          <w:sz w:val="24"/>
        </w:rPr>
        <w:t>主要仪表选型</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检测仪表在满足工艺要求的前提下，优先选用国内知名品牌的性价比高的产品，主要检测仪表选型如下：</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现状进水调节池或处理池后端设置液位开关1 台；</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各仪表 4～20mA 的标准信号通过 PLC 上传至触摸屏，仪表原则上选用带现场显示型。</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3.2.4 施工注意事项</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（1）施工图设计原则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1）污水处理设备、仪表选用尽量立足于国内，以实用为主。</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2）污水厂总平面布置力求紧凑，不得突破现状</w:t>
      </w:r>
      <w:r>
        <w:rPr>
          <w:rFonts w:hint="eastAsia" w:eastAsia="仿宋_GB2312"/>
          <w:color w:val="auto"/>
          <w:sz w:val="24"/>
        </w:rPr>
        <w:t>收费站及园区</w:t>
      </w:r>
      <w:r>
        <w:rPr>
          <w:rFonts w:eastAsia="仿宋_GB2312"/>
          <w:color w:val="auto"/>
          <w:sz w:val="24"/>
        </w:rPr>
        <w:t>占地面积。</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3）对废物等进行妥善处理，避免二次污染。</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4）本工程污泥按原</w:t>
      </w:r>
      <w:r>
        <w:rPr>
          <w:rFonts w:hint="eastAsia" w:eastAsia="仿宋_GB2312"/>
          <w:color w:val="auto"/>
          <w:sz w:val="24"/>
        </w:rPr>
        <w:t>收费站及园区</w:t>
      </w:r>
      <w:r>
        <w:rPr>
          <w:rFonts w:eastAsia="仿宋_GB2312"/>
          <w:color w:val="auto"/>
          <w:sz w:val="24"/>
        </w:rPr>
        <w:t>处置方式统一处理。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5）污水处理厂的环境保护和安全卫生均应严格执行国家和地方的有关规定。</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（2）施工要求</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1）施工前应核对与本次设计相关的地面和管网高程,如与设计不符，应及时与设计单位联系。同时，应做好与其他施工项目衔接，</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施工安装应严格按照施工图纸及现行有关规范、规定、标准图、设备安装要求，注意与总图、土建、电气、自动控制相应对照，如有疑问请及时与设计方联系，如发现设计图纸有错误或不合理时，应征得设计方同意后方可修改。</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3）工程中所有设备材料及仪表必须具有制造厂的合格证，并按有关规范进行检验，作出记录。</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施工安装时，施工单位和建设方应注意组织好施工组织、施工方法、安全措施等施工方案设计，确保工程施工质量。预埋件的水平度和平整度应符合《机械设备安装工程施工及验收通用规范》（GB50231-2009）的规定。</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5）本图出图时，设备尚未招标. 工程实施前，设备商应提供所有设备资料，校核基础留孔或预埋件准确无误后方可施工。</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 xml:space="preserve">6）管道安装完毕压力管道应按管道的不同用途分别进行管道水压试验，给水管道的工作压力为0.6MPa，工艺管道、污泥管道的工作压力为0.25MPa，排水管道应做闭水试验，水压试验与闭水试验的做法及结果应符合《给水排水管道工程施工及验收规范》（GB50268-2008）的规定。  </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7）管配件表内的数量及规格仅供承包商参考，承包商在订货之前必须对其进行复核.承包商可根据图中管线布置计算管道的具体数量，并需适当配置相应管段所需管配件。</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8）本图需与工艺总图和各单体构、建筑物的建筑、结构、电气自控施工设计图纸一并使用。工艺施工图主要反映工艺设计，有关构、建筑物的土建设计详见土建设计图。建构筑物预留洞、预埋套管等必须与相关专业图纸核对无误后方可施工，未经设计允许，不得随意在墙、板、梁、柱上开洞。若有偏差，请及时与设计院联系。</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9）本工程的主体生化段采用一体化污水处理设备，一体化污水处理设备为整体设备采购，采购的污水处理设备单体出水水质需满足设计要求。</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10）鼓风机、水泵均采用法兰连接管道，管道上的阀门和仪表应安装整齐，风机进出口管应用支架承重并固定,将进出管、阀门等荷载直接加在风机上，安装时严禁异物进入风机，风机应采取减震和消声措施。</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11）微孔曝气安装期间及安装完毕后现场严禁明火作业，应对管接头，卡箍、末端等部位仔细检查，然后清水试验，逐步调整直至布气均匀。</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12）管道支吊架：在一定管长间隔内或拐弯处设置，应根据管材、管径及现场情况确定，详见《给排水标准图集》03S402。</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13）管道交叉时压力管让重力管，小管让大管，管道连接时应先找平，不得使管道产生内应力，埋地管道应在基槽底部夯实砂石垫层找平。</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14）管道防腐： 钢制明设管道内、外壁及池内钢件表面除锈后，刷环氧煤沥青底漆一道，厚浆型环氧煤沥青面漆二道；埋地管道，内壁防腐要求同上，外壁防腐表面除锈后，刷环氧煤沥青底漆一道，面漆三道，面漆涂层间缠绕玻璃布二层。上述管道防腐施工技术要求，质量检查标准详见《液体环氧涂料内防腐涂层钢管技术条件(SY/T4057-93)》及《埋地钢质管道环氧煤沥青防腐层技术标准 (SY/T0447-96)》；除锈按《涂装前钢材表面锈蚀等级和除锈等级(GB8923-88)》中的Sa2级进行并结合厂家产品样本的技术要求施工。</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15）其他设备安装时均应严格按照产品说明书及相关规范进行安装。</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16）沟槽开挖深度超过5m，应请有相应资质的设计单位进行专项基坑支护设计。开挖施工段，沟槽、基坑开挖时，埋深超过3m，不大于5.0m时，建议采用钢板桩支护措施开挖，应满足《给水排水管道工程施工及验收规范》4.3章节的相关要求。清单编制单位编制清单时，需考虑该部分工程量。特别是高挖方段道路红线外排水管道及检查井施工时，应采取保护措施，确保施工安全。</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17）本工程设计中结构、建筑、电气、仪表控制等专业的施工说明分别见各专业设计图。</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（3）试运行及运行管理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1）土建、设备及管道安装完毕后须经组织有关部门验收合格后方可进行试运行，试运行应编制调试运行方案，试运行正常后可进入正常生产运行。</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2）运行前应检查所有工艺设备及与运行设备有关的仪器仪表，开关线路是否符合运行的要求，安全保护装置是否齐全、可靠。</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3）按施工图说明的设计方式运行，所有设备的运行参照设备操作使用说明书或操作手册，同时注意观察各设备的运行情况，运行时如发现问题，应及时查找原因，并采取相应的排除措施。</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4）工艺的运行、维护及安全管理参照《城市污水处理厂运行、维护及其安全技术规程》（CJJ60-2011）的规定。</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 xml:space="preserve">5）在对地下设施和封闭、半封闭设施检修维护之前，必须采用手提式风机强制通风，并配备便携式有毒有害可燃气体检测与报警装置，以确保检修维护人员的安全。井下池内作业过程中严禁吸烟和明火作业。  </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6）本图纸在设备招标前，所有设备基础、安装方式请在设备招标后进行核对，厂家指导安装。若有冲突，请及时与设计院联系。</w:t>
      </w:r>
    </w:p>
    <w:bookmarkEnd w:id="7"/>
    <w:p>
      <w:pPr>
        <w:pStyle w:val="295"/>
        <w:rPr>
          <w:color w:val="auto"/>
        </w:rPr>
      </w:pPr>
      <w:r>
        <w:rPr>
          <w:color w:val="auto"/>
        </w:rPr>
        <w:t>3.</w:t>
      </w:r>
      <w:r>
        <w:rPr>
          <w:rFonts w:hint="eastAsia"/>
          <w:color w:val="auto"/>
        </w:rPr>
        <w:t>3</w:t>
      </w:r>
      <w:r>
        <w:rPr>
          <w:color w:val="auto"/>
        </w:rPr>
        <w:t xml:space="preserve"> </w:t>
      </w:r>
      <w:r>
        <w:rPr>
          <w:rFonts w:hint="eastAsia"/>
          <w:color w:val="auto"/>
        </w:rPr>
        <w:t>蚌埠管理处</w:t>
      </w:r>
      <w:r>
        <w:rPr>
          <w:color w:val="auto"/>
        </w:rPr>
        <w:t>——</w:t>
      </w:r>
      <w:r>
        <w:rPr>
          <w:rFonts w:hint="eastAsia"/>
          <w:color w:val="auto"/>
        </w:rPr>
        <w:t>梁园收费站</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3</w:t>
      </w:r>
      <w:r>
        <w:rPr>
          <w:rFonts w:ascii="Times New Roman" w:hAnsi="Times New Roman" w:cs="Times New Roman"/>
          <w:color w:val="auto"/>
        </w:rPr>
        <w:t>.1 污水方案概况</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3</w:t>
      </w:r>
      <w:r>
        <w:rPr>
          <w:rFonts w:ascii="Times New Roman" w:hAnsi="Times New Roman" w:cs="Times New Roman"/>
          <w:color w:val="auto"/>
        </w:rPr>
        <w:t>.</w:t>
      </w:r>
      <w:r>
        <w:rPr>
          <w:rFonts w:hint="eastAsia" w:ascii="Times New Roman" w:hAnsi="Times New Roman" w:cs="Times New Roman"/>
          <w:color w:val="auto"/>
        </w:rPr>
        <w:t>2</w:t>
      </w:r>
      <w:r>
        <w:rPr>
          <w:rFonts w:ascii="Times New Roman" w:hAnsi="Times New Roman" w:cs="Times New Roman"/>
          <w:color w:val="auto"/>
        </w:rPr>
        <w:t xml:space="preserve"> </w:t>
      </w:r>
      <w:r>
        <w:rPr>
          <w:rFonts w:hint="eastAsia" w:ascii="Times New Roman" w:hAnsi="Times New Roman" w:cs="Times New Roman"/>
          <w:color w:val="auto"/>
        </w:rPr>
        <w:t>园区现状调查</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3.</w:t>
      </w:r>
      <w:r>
        <w:rPr>
          <w:rFonts w:hint="eastAsia" w:ascii="Times New Roman" w:hAnsi="Times New Roman" w:cs="Times New Roman"/>
          <w:color w:val="auto"/>
        </w:rPr>
        <w:t>3</w:t>
      </w:r>
      <w:r>
        <w:rPr>
          <w:rFonts w:ascii="Times New Roman" w:hAnsi="Times New Roman" w:cs="Times New Roman"/>
          <w:color w:val="auto"/>
        </w:rPr>
        <w:t>.</w:t>
      </w:r>
      <w:r>
        <w:rPr>
          <w:rFonts w:hint="eastAsia" w:ascii="Times New Roman" w:hAnsi="Times New Roman" w:cs="Times New Roman"/>
          <w:color w:val="auto"/>
        </w:rPr>
        <w:t>3</w:t>
      </w:r>
      <w:r>
        <w:rPr>
          <w:rFonts w:ascii="Times New Roman" w:hAnsi="Times New Roman" w:cs="Times New Roman"/>
          <w:color w:val="auto"/>
        </w:rPr>
        <w:t xml:space="preserve"> </w:t>
      </w:r>
      <w:r>
        <w:rPr>
          <w:rFonts w:hint="eastAsia" w:ascii="Times New Roman" w:hAnsi="Times New Roman" w:cs="Times New Roman"/>
          <w:color w:val="auto"/>
        </w:rPr>
        <w:t>设计方案</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（1）污水系统设计</w:t>
      </w:r>
    </w:p>
    <w:p>
      <w:pPr>
        <w:tabs>
          <w:tab w:val="left" w:pos="525"/>
        </w:tabs>
        <w:adjustRightInd w:val="0"/>
        <w:snapToGrid w:val="0"/>
        <w:spacing w:line="360" w:lineRule="auto"/>
        <w:ind w:left="55" w:leftChars="26" w:firstLine="463" w:firstLineChars="192"/>
        <w:rPr>
          <w:rFonts w:eastAsia="仿宋_GB2312"/>
          <w:b/>
          <w:bCs/>
          <w:color w:val="auto"/>
          <w:sz w:val="24"/>
        </w:rPr>
      </w:pPr>
      <w:r>
        <w:rPr>
          <w:rFonts w:eastAsia="仿宋_GB2312"/>
          <w:b/>
          <w:bCs/>
          <w:color w:val="auto"/>
          <w:sz w:val="24"/>
        </w:rPr>
        <w:t>（2）</w:t>
      </w:r>
      <w:r>
        <w:rPr>
          <w:rFonts w:hint="eastAsia" w:eastAsia="仿宋_GB2312"/>
          <w:b/>
          <w:bCs/>
          <w:color w:val="auto"/>
          <w:sz w:val="24"/>
        </w:rPr>
        <w:t>污水调节池</w:t>
      </w:r>
      <w:r>
        <w:rPr>
          <w:rFonts w:eastAsia="仿宋_GB2312"/>
          <w:b/>
          <w:bCs/>
          <w:color w:val="auto"/>
          <w:sz w:val="24"/>
        </w:rPr>
        <w:t>设计</w:t>
      </w:r>
    </w:p>
    <w:p>
      <w:pPr>
        <w:tabs>
          <w:tab w:val="left" w:pos="525"/>
        </w:tabs>
        <w:adjustRightInd w:val="0"/>
        <w:snapToGrid w:val="0"/>
        <w:spacing w:line="360" w:lineRule="auto"/>
        <w:ind w:left="55" w:leftChars="26" w:firstLine="463" w:firstLineChars="192"/>
        <w:rPr>
          <w:rFonts w:eastAsia="仿宋_GB2312"/>
          <w:b/>
          <w:bCs/>
          <w:color w:val="auto"/>
          <w:sz w:val="24"/>
          <w:highlight w:val="none"/>
        </w:rPr>
      </w:pPr>
      <w:r>
        <w:rPr>
          <w:rFonts w:hint="eastAsia" w:eastAsia="仿宋_GB2312"/>
          <w:b/>
          <w:bCs/>
          <w:color w:val="auto"/>
          <w:sz w:val="24"/>
          <w:highlight w:val="none"/>
        </w:rPr>
        <w:t>（3）一体化处理设备设计（20t/d）</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eastAsia="仿宋_GB2312"/>
          <w:color w:val="auto"/>
          <w:sz w:val="24"/>
          <w:highlight w:val="none"/>
        </w:rPr>
        <w:t>本工程设计 1套污水处理一体化设备。一体化设备的设计水量为20 m</w:t>
      </w:r>
      <w:r>
        <w:rPr>
          <w:rFonts w:eastAsia="仿宋_GB2312"/>
          <w:color w:val="auto"/>
          <w:sz w:val="24"/>
          <w:highlight w:val="none"/>
          <w:vertAlign w:val="superscript"/>
        </w:rPr>
        <w:t>3</w:t>
      </w:r>
      <w:r>
        <w:rPr>
          <w:rFonts w:eastAsia="仿宋_GB2312"/>
          <w:color w:val="auto"/>
          <w:sz w:val="24"/>
          <w:highlight w:val="none"/>
        </w:rPr>
        <w:t>/d</w:t>
      </w:r>
      <w:r>
        <w:rPr>
          <w:rFonts w:hint="eastAsia" w:eastAsia="仿宋_GB2312"/>
          <w:color w:val="auto"/>
          <w:sz w:val="24"/>
          <w:highlight w:val="none"/>
        </w:rPr>
        <w:t>；</w:t>
      </w:r>
      <w:r>
        <w:rPr>
          <w:rFonts w:eastAsia="仿宋_GB2312"/>
          <w:color w:val="auto"/>
          <w:sz w:val="24"/>
          <w:highlight w:val="none"/>
        </w:rPr>
        <w:t>本工程采用一路 0.4kV 电源供电，通过低压电缆埋地引入现场配电柜，电缆长度暂定为0.</w:t>
      </w:r>
      <w:r>
        <w:rPr>
          <w:rFonts w:hint="eastAsia" w:eastAsia="仿宋_GB2312"/>
          <w:color w:val="auto"/>
          <w:sz w:val="24"/>
          <w:highlight w:val="none"/>
          <w:lang w:val="en-US" w:eastAsia="zh-CN"/>
        </w:rPr>
        <w:t>09</w:t>
      </w:r>
      <w:r>
        <w:rPr>
          <w:rFonts w:eastAsia="仿宋_GB2312"/>
          <w:color w:val="auto"/>
          <w:sz w:val="24"/>
          <w:highlight w:val="none"/>
        </w:rPr>
        <w:t>km。</w:t>
      </w:r>
    </w:p>
    <w:p>
      <w:pPr>
        <w:tabs>
          <w:tab w:val="left" w:pos="525"/>
        </w:tabs>
        <w:adjustRightInd w:val="0"/>
        <w:snapToGrid w:val="0"/>
        <w:spacing w:line="360" w:lineRule="auto"/>
        <w:ind w:left="55" w:leftChars="26" w:firstLine="460" w:firstLineChars="192"/>
        <w:rPr>
          <w:rFonts w:eastAsia="仿宋_GB2312"/>
          <w:color w:val="auto"/>
          <w:sz w:val="24"/>
          <w:highlight w:val="none"/>
        </w:rPr>
      </w:pPr>
      <w:r>
        <w:rPr>
          <w:rFonts w:hint="eastAsia" w:eastAsia="仿宋_GB2312"/>
          <w:color w:val="auto"/>
          <w:sz w:val="24"/>
          <w:highlight w:val="none"/>
        </w:rPr>
        <w:t>其余设计说明可参照蚌埠管理处双庙收费站的相关说明，不在此赘述。</w:t>
      </w:r>
    </w:p>
    <w:p>
      <w:pPr>
        <w:pStyle w:val="295"/>
        <w:rPr>
          <w:rFonts w:hint="eastAsia"/>
          <w:color w:val="auto"/>
          <w:highlight w:val="none"/>
        </w:rPr>
      </w:pPr>
      <w:r>
        <w:rPr>
          <w:color w:val="auto"/>
          <w:highlight w:val="none"/>
        </w:rPr>
        <w:t>3.</w:t>
      </w:r>
      <w:r>
        <w:rPr>
          <w:rFonts w:hint="eastAsia"/>
          <w:color w:val="auto"/>
          <w:highlight w:val="none"/>
        </w:rPr>
        <w:t>4</w:t>
      </w:r>
      <w:r>
        <w:rPr>
          <w:color w:val="auto"/>
          <w:highlight w:val="none"/>
        </w:rPr>
        <w:t xml:space="preserve"> </w:t>
      </w:r>
      <w:r>
        <w:rPr>
          <w:rFonts w:hint="eastAsia"/>
          <w:color w:val="auto"/>
          <w:highlight w:val="none"/>
        </w:rPr>
        <w:t>蚌埠管理处</w:t>
      </w:r>
      <w:r>
        <w:rPr>
          <w:color w:val="auto"/>
          <w:highlight w:val="none"/>
        </w:rPr>
        <w:t>——</w:t>
      </w:r>
      <w:r>
        <w:rPr>
          <w:rFonts w:hint="eastAsia"/>
          <w:color w:val="auto"/>
          <w:highlight w:val="none"/>
        </w:rPr>
        <w:t>永康收费站</w:t>
      </w:r>
    </w:p>
    <w:p>
      <w:pPr>
        <w:pStyle w:val="295"/>
        <w:rPr>
          <w:rFonts w:hint="eastAsia"/>
          <w:color w:val="auto"/>
          <w:highlight w:val="none"/>
        </w:rPr>
      </w:pPr>
    </w:p>
    <w:p>
      <w:pPr>
        <w:pStyle w:val="295"/>
        <w:rPr>
          <w:color w:val="auto"/>
          <w:highlight w:val="none"/>
        </w:rPr>
      </w:pPr>
      <w:r>
        <w:rPr>
          <w:color w:val="auto"/>
          <w:highlight w:val="none"/>
        </w:rPr>
        <w:t>3.</w:t>
      </w:r>
      <w:r>
        <w:rPr>
          <w:rFonts w:hint="eastAsia"/>
          <w:color w:val="auto"/>
          <w:highlight w:val="none"/>
        </w:rPr>
        <w:t>5</w:t>
      </w:r>
      <w:r>
        <w:rPr>
          <w:color w:val="auto"/>
          <w:highlight w:val="none"/>
        </w:rPr>
        <w:t xml:space="preserve"> </w:t>
      </w:r>
      <w:r>
        <w:rPr>
          <w:rFonts w:hint="eastAsia"/>
          <w:color w:val="auto"/>
          <w:highlight w:val="none"/>
        </w:rPr>
        <w:t>蚌埠管理处</w:t>
      </w:r>
      <w:r>
        <w:rPr>
          <w:color w:val="auto"/>
          <w:highlight w:val="none"/>
        </w:rPr>
        <w:t>——</w:t>
      </w:r>
      <w:r>
        <w:rPr>
          <w:rFonts w:hint="eastAsia"/>
          <w:color w:val="auto"/>
          <w:highlight w:val="none"/>
        </w:rPr>
        <w:t>九梓收费站</w:t>
      </w:r>
    </w:p>
    <w:p>
      <w:pPr>
        <w:pStyle w:val="295"/>
        <w:rPr>
          <w:rFonts w:hint="eastAsia"/>
          <w:color w:val="auto"/>
          <w:highlight w:val="yellow"/>
        </w:rPr>
      </w:pPr>
      <w:r>
        <w:rPr>
          <w:color w:val="auto"/>
          <w:highlight w:val="yellow"/>
        </w:rPr>
        <w:t>3.</w:t>
      </w:r>
      <w:r>
        <w:rPr>
          <w:rFonts w:hint="eastAsia"/>
          <w:color w:val="auto"/>
          <w:highlight w:val="yellow"/>
        </w:rPr>
        <w:t>6蚌埠管理处</w:t>
      </w:r>
      <w:r>
        <w:rPr>
          <w:color w:val="auto"/>
          <w:highlight w:val="yellow"/>
        </w:rPr>
        <w:t>——</w:t>
      </w:r>
      <w:r>
        <w:rPr>
          <w:rFonts w:hint="eastAsia"/>
          <w:color w:val="auto"/>
          <w:highlight w:val="yellow"/>
        </w:rPr>
        <w:t>蚌埠西收费站</w:t>
      </w:r>
    </w:p>
    <w:p>
      <w:pPr>
        <w:pStyle w:val="296"/>
        <w:ind w:left="1007" w:leftChars="250" w:hanging="482" w:hangingChars="200"/>
        <w:rPr>
          <w:rFonts w:ascii="Times New Roman" w:hAnsi="Times New Roman" w:cs="Times New Roman"/>
          <w:color w:val="auto"/>
          <w:highlight w:val="yellow"/>
        </w:rPr>
      </w:pPr>
      <w:r>
        <w:rPr>
          <w:rFonts w:ascii="Times New Roman" w:hAnsi="Times New Roman" w:cs="Times New Roman"/>
          <w:color w:val="auto"/>
          <w:highlight w:val="yellow"/>
        </w:rPr>
        <w:t>3.</w:t>
      </w:r>
      <w:r>
        <w:rPr>
          <w:rFonts w:hint="eastAsia" w:ascii="Times New Roman" w:hAnsi="Times New Roman" w:cs="Times New Roman"/>
          <w:color w:val="auto"/>
          <w:highlight w:val="yellow"/>
          <w:lang w:val="en-US" w:eastAsia="zh-CN"/>
        </w:rPr>
        <w:t>6</w:t>
      </w:r>
      <w:r>
        <w:rPr>
          <w:rFonts w:ascii="Times New Roman" w:hAnsi="Times New Roman" w:cs="Times New Roman"/>
          <w:color w:val="auto"/>
          <w:highlight w:val="yellow"/>
        </w:rPr>
        <w:t>.1 污水方案概况</w:t>
      </w:r>
    </w:p>
    <w:p>
      <w:pPr>
        <w:tabs>
          <w:tab w:val="left" w:pos="525"/>
        </w:tabs>
        <w:adjustRightInd w:val="0"/>
        <w:snapToGrid w:val="0"/>
        <w:spacing w:line="360" w:lineRule="auto"/>
        <w:ind w:left="55" w:leftChars="26" w:firstLine="460" w:firstLineChars="192"/>
        <w:rPr>
          <w:rFonts w:hint="eastAsia" w:eastAsia="仿宋_GB2312"/>
          <w:color w:val="auto"/>
          <w:sz w:val="24"/>
          <w:highlight w:val="yellow"/>
          <w:lang w:eastAsia="zh-CN"/>
        </w:rPr>
      </w:pPr>
      <w:r>
        <w:rPr>
          <w:rFonts w:hint="eastAsia" w:eastAsia="仿宋_GB2312"/>
          <w:color w:val="auto"/>
          <w:sz w:val="24"/>
          <w:highlight w:val="yellow"/>
          <w:lang w:eastAsia="zh-CN"/>
        </w:rPr>
        <w:t>蚌埠西收费站新建泵井，设压力污水管沿收费站东侧绿化带敷设管线，出收费站后使用拖拉管穿过</w:t>
      </w:r>
      <w:r>
        <w:rPr>
          <w:rFonts w:hint="eastAsia" w:eastAsia="仿宋_GB2312"/>
          <w:color w:val="auto"/>
          <w:sz w:val="24"/>
          <w:highlight w:val="yellow"/>
          <w:lang w:val="en-US" w:eastAsia="zh-CN"/>
        </w:rPr>
        <w:t>G206道路</w:t>
      </w:r>
      <w:r>
        <w:rPr>
          <w:rFonts w:hint="eastAsia" w:eastAsia="仿宋_GB2312"/>
          <w:color w:val="auto"/>
          <w:sz w:val="24"/>
          <w:highlight w:val="yellow"/>
          <w:lang w:eastAsia="zh-CN"/>
        </w:rPr>
        <w:t>，并接入现状d</w:t>
      </w:r>
      <w:r>
        <w:rPr>
          <w:rFonts w:hint="eastAsia" w:eastAsia="仿宋_GB2312"/>
          <w:color w:val="auto"/>
          <w:sz w:val="24"/>
          <w:highlight w:val="yellow"/>
          <w:lang w:val="en-US" w:eastAsia="zh-CN"/>
        </w:rPr>
        <w:t>10</w:t>
      </w:r>
      <w:r>
        <w:rPr>
          <w:rFonts w:hint="eastAsia" w:eastAsia="仿宋_GB2312"/>
          <w:color w:val="auto"/>
          <w:sz w:val="24"/>
          <w:highlight w:val="yellow"/>
          <w:lang w:eastAsia="zh-CN"/>
        </w:rPr>
        <w:t>00市政污水管。园区内同步新建隔油池，化粪池进行清掏，并对堵塞严重管道进行清淤疏通。</w:t>
      </w:r>
    </w:p>
    <w:p>
      <w:pPr>
        <w:pStyle w:val="296"/>
        <w:ind w:left="1007" w:leftChars="250" w:hanging="482" w:hangingChars="200"/>
        <w:rPr>
          <w:rFonts w:hint="default" w:ascii="Times New Roman" w:hAnsi="Times New Roman" w:cs="Times New Roman"/>
          <w:color w:val="auto"/>
          <w:highlight w:val="yellow"/>
          <w:lang w:val="en-US" w:eastAsia="zh-CN"/>
        </w:rPr>
      </w:pPr>
      <w:r>
        <w:rPr>
          <w:rFonts w:hint="eastAsia" w:ascii="Times New Roman" w:hAnsi="Times New Roman" w:cs="Times New Roman"/>
          <w:color w:val="auto"/>
          <w:highlight w:val="yellow"/>
          <w:lang w:val="en-US" w:eastAsia="zh-CN"/>
        </w:rPr>
        <w:t>3.6.2 沿线现状调查</w:t>
      </w:r>
    </w:p>
    <w:p>
      <w:pPr>
        <w:tabs>
          <w:tab w:val="left" w:pos="525"/>
        </w:tabs>
        <w:adjustRightInd w:val="0"/>
        <w:snapToGrid w:val="0"/>
        <w:spacing w:line="360" w:lineRule="auto"/>
        <w:ind w:left="55" w:leftChars="26" w:firstLine="463" w:firstLineChars="192"/>
        <w:rPr>
          <w:rFonts w:hint="eastAsia" w:eastAsia="仿宋_GB2312"/>
          <w:b/>
          <w:bCs/>
          <w:color w:val="auto"/>
          <w:sz w:val="24"/>
          <w:highlight w:val="yellow"/>
        </w:rPr>
      </w:pPr>
      <w:r>
        <w:rPr>
          <w:rFonts w:hint="eastAsia" w:eastAsia="仿宋_GB2312"/>
          <w:b/>
          <w:bCs/>
          <w:color w:val="auto"/>
          <w:sz w:val="24"/>
          <w:highlight w:val="yellow"/>
        </w:rPr>
        <w:t>（1）园区内部排水系统调查</w:t>
      </w:r>
    </w:p>
    <w:p>
      <w:pPr>
        <w:tabs>
          <w:tab w:val="left" w:pos="525"/>
        </w:tabs>
        <w:adjustRightInd w:val="0"/>
        <w:snapToGrid w:val="0"/>
        <w:spacing w:line="360" w:lineRule="auto"/>
        <w:ind w:left="55" w:leftChars="26" w:firstLine="460" w:firstLineChars="192"/>
        <w:rPr>
          <w:rFonts w:hint="eastAsia" w:eastAsia="仿宋_GB2312"/>
          <w:b/>
          <w:bCs/>
          <w:color w:val="auto"/>
          <w:sz w:val="24"/>
          <w:highlight w:val="yellow"/>
        </w:rPr>
      </w:pPr>
      <w:r>
        <w:rPr>
          <w:rFonts w:hint="eastAsia" w:eastAsia="仿宋_GB2312"/>
          <w:color w:val="auto"/>
          <w:sz w:val="24"/>
          <w:highlight w:val="yellow"/>
          <w:lang w:eastAsia="zh-CN"/>
        </w:rPr>
        <w:t>根据现场实地踏勘，收费站现状排水为雨污分流，现状为地埋土建式污水处理设施，设备长期无人运维，排口进入收费站旁沟渠中，排水水质不达标。园区内管网运行状态良好，有部分管道及化粪池堵塞。餐厅隔油池规格较小，堵塞较为严重。</w:t>
      </w:r>
    </w:p>
    <w:p>
      <w:pPr>
        <w:tabs>
          <w:tab w:val="left" w:pos="525"/>
        </w:tabs>
        <w:adjustRightInd w:val="0"/>
        <w:snapToGrid w:val="0"/>
        <w:spacing w:line="360" w:lineRule="auto"/>
        <w:jc w:val="left"/>
        <w:rPr>
          <w:rFonts w:eastAsia="仿宋_GB2312"/>
          <w:b/>
          <w:bCs/>
          <w:color w:val="auto"/>
          <w:sz w:val="24"/>
          <w:highlight w:val="yellow"/>
        </w:rPr>
      </w:pPr>
      <w:r>
        <w:drawing>
          <wp:inline distT="0" distB="0" distL="114300" distR="114300">
            <wp:extent cx="6381115" cy="3639820"/>
            <wp:effectExtent l="0" t="0" r="635" b="825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6"/>
                    <a:stretch>
                      <a:fillRect/>
                    </a:stretch>
                  </pic:blipFill>
                  <pic:spPr>
                    <a:xfrm>
                      <a:off x="0" y="0"/>
                      <a:ext cx="6381115" cy="3639820"/>
                    </a:xfrm>
                    <a:prstGeom prst="rect">
                      <a:avLst/>
                    </a:prstGeom>
                    <a:noFill/>
                    <a:ln>
                      <a:noFill/>
                    </a:ln>
                  </pic:spPr>
                </pic:pic>
              </a:graphicData>
            </a:graphic>
          </wp:inline>
        </w:drawing>
      </w:r>
    </w:p>
    <w:p>
      <w:pPr>
        <w:tabs>
          <w:tab w:val="left" w:pos="525"/>
        </w:tabs>
        <w:adjustRightInd w:val="0"/>
        <w:snapToGrid w:val="0"/>
        <w:spacing w:line="360" w:lineRule="auto"/>
        <w:ind w:left="55" w:leftChars="26" w:firstLine="463" w:firstLineChars="192"/>
        <w:jc w:val="center"/>
        <w:rPr>
          <w:rFonts w:eastAsia="仿宋_GB2312"/>
          <w:b/>
          <w:bCs/>
          <w:color w:val="auto"/>
          <w:sz w:val="24"/>
          <w:highlight w:val="yellow"/>
        </w:rPr>
      </w:pPr>
      <w:r>
        <w:rPr>
          <w:rFonts w:hint="eastAsia" w:eastAsia="仿宋_GB2312"/>
          <w:b/>
          <w:bCs/>
          <w:color w:val="auto"/>
          <w:sz w:val="24"/>
          <w:highlight w:val="yellow"/>
          <w:lang w:eastAsia="zh-CN"/>
        </w:rPr>
        <w:t>蚌埠西</w:t>
      </w:r>
      <w:r>
        <w:rPr>
          <w:rFonts w:hint="eastAsia" w:eastAsia="仿宋_GB2312"/>
          <w:b/>
          <w:bCs/>
          <w:color w:val="auto"/>
          <w:sz w:val="24"/>
          <w:highlight w:val="yellow"/>
        </w:rPr>
        <w:t>收费站现状排水系统图</w:t>
      </w:r>
    </w:p>
    <w:p>
      <w:pPr>
        <w:numPr>
          <w:ilvl w:val="0"/>
          <w:numId w:val="12"/>
        </w:numPr>
        <w:tabs>
          <w:tab w:val="left" w:pos="525"/>
        </w:tabs>
        <w:adjustRightInd w:val="0"/>
        <w:snapToGrid w:val="0"/>
        <w:spacing w:line="360" w:lineRule="auto"/>
        <w:ind w:left="55" w:leftChars="26" w:firstLine="463" w:firstLineChars="192"/>
        <w:rPr>
          <w:rFonts w:eastAsia="仿宋_GB2312"/>
          <w:b/>
          <w:bCs/>
          <w:color w:val="auto"/>
          <w:sz w:val="24"/>
          <w:highlight w:val="yellow"/>
        </w:rPr>
      </w:pPr>
      <w:r>
        <w:rPr>
          <w:rFonts w:eastAsia="仿宋_GB2312"/>
          <w:b/>
          <w:bCs/>
          <w:color w:val="auto"/>
          <w:sz w:val="24"/>
          <w:highlight w:val="yellow"/>
        </w:rPr>
        <w:t>沿线路由</w:t>
      </w:r>
      <w:r>
        <w:rPr>
          <w:rFonts w:hint="eastAsia" w:eastAsia="仿宋_GB2312"/>
          <w:b/>
          <w:bCs/>
          <w:color w:val="auto"/>
          <w:sz w:val="24"/>
          <w:highlight w:val="yellow"/>
        </w:rPr>
        <w:t>及市政（城镇）排水系统接驳点</w:t>
      </w:r>
      <w:r>
        <w:rPr>
          <w:rFonts w:eastAsia="仿宋_GB2312"/>
          <w:b/>
          <w:bCs/>
          <w:color w:val="auto"/>
          <w:sz w:val="24"/>
          <w:highlight w:val="yellow"/>
        </w:rPr>
        <w:t>调查</w:t>
      </w:r>
    </w:p>
    <w:p>
      <w:pPr>
        <w:numPr>
          <w:ilvl w:val="0"/>
          <w:numId w:val="0"/>
        </w:numPr>
        <w:tabs>
          <w:tab w:val="left" w:pos="525"/>
        </w:tabs>
        <w:adjustRightInd w:val="0"/>
        <w:snapToGrid w:val="0"/>
        <w:spacing w:line="360" w:lineRule="auto"/>
        <w:ind w:leftChars="218"/>
        <w:rPr>
          <w:rFonts w:eastAsia="仿宋_GB2312"/>
          <w:b/>
          <w:bCs/>
          <w:color w:val="auto"/>
          <w:sz w:val="24"/>
          <w:highlight w:val="yellow"/>
        </w:rPr>
      </w:pPr>
    </w:p>
    <w:p>
      <w:pPr>
        <w:tabs>
          <w:tab w:val="left" w:pos="525"/>
        </w:tabs>
        <w:adjustRightInd w:val="0"/>
        <w:snapToGrid w:val="0"/>
        <w:spacing w:line="360" w:lineRule="auto"/>
        <w:ind w:left="55" w:leftChars="26" w:firstLine="403" w:firstLineChars="192"/>
        <w:jc w:val="center"/>
      </w:pPr>
      <w:r>
        <w:drawing>
          <wp:inline distT="0" distB="0" distL="114300" distR="114300">
            <wp:extent cx="4739005" cy="3848100"/>
            <wp:effectExtent l="0" t="0" r="4445"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7"/>
                    <a:stretch>
                      <a:fillRect/>
                    </a:stretch>
                  </pic:blipFill>
                  <pic:spPr>
                    <a:xfrm>
                      <a:off x="0" y="0"/>
                      <a:ext cx="4739005" cy="3848100"/>
                    </a:xfrm>
                    <a:prstGeom prst="rect">
                      <a:avLst/>
                    </a:prstGeom>
                    <a:noFill/>
                    <a:ln>
                      <a:noFill/>
                    </a:ln>
                  </pic:spPr>
                </pic:pic>
              </a:graphicData>
            </a:graphic>
          </wp:inline>
        </w:drawing>
      </w:r>
    </w:p>
    <w:p>
      <w:pPr>
        <w:tabs>
          <w:tab w:val="left" w:pos="525"/>
        </w:tabs>
        <w:adjustRightInd w:val="0"/>
        <w:snapToGrid w:val="0"/>
        <w:spacing w:line="360" w:lineRule="auto"/>
        <w:jc w:val="center"/>
        <w:rPr>
          <w:rFonts w:eastAsia="仿宋_GB2312"/>
          <w:b/>
          <w:bCs/>
          <w:color w:val="auto"/>
          <w:sz w:val="24"/>
        </w:rPr>
      </w:pPr>
      <w:r>
        <w:rPr>
          <w:rFonts w:hint="eastAsia" w:eastAsia="仿宋_GB2312"/>
          <w:b/>
          <w:bCs/>
          <w:color w:val="auto"/>
          <w:sz w:val="24"/>
          <w:lang w:eastAsia="zh-CN"/>
        </w:rPr>
        <w:t>蚌埠西</w:t>
      </w:r>
      <w:r>
        <w:rPr>
          <w:rFonts w:hint="eastAsia" w:eastAsia="仿宋_GB2312"/>
          <w:b/>
          <w:bCs/>
          <w:color w:val="auto"/>
          <w:sz w:val="24"/>
        </w:rPr>
        <w:t>收费站市政接驳调查图</w:t>
      </w:r>
    </w:p>
    <w:p>
      <w:pPr>
        <w:tabs>
          <w:tab w:val="left" w:pos="525"/>
        </w:tabs>
        <w:adjustRightInd w:val="0"/>
        <w:snapToGrid w:val="0"/>
        <w:spacing w:line="360" w:lineRule="auto"/>
        <w:ind w:left="55" w:leftChars="26" w:firstLine="460" w:firstLineChars="192"/>
        <w:rPr>
          <w:rFonts w:hint="eastAsia"/>
        </w:rPr>
      </w:pPr>
      <w:r>
        <w:rPr>
          <w:rFonts w:hint="eastAsia" w:eastAsia="仿宋_GB2312"/>
          <w:color w:val="auto"/>
          <w:sz w:val="24"/>
        </w:rPr>
        <w:t xml:space="preserve"> </w:t>
      </w:r>
      <w:r>
        <w:rPr>
          <w:rFonts w:eastAsia="仿宋_GB2312"/>
          <w:color w:val="auto"/>
          <w:sz w:val="24"/>
        </w:rPr>
        <w:t xml:space="preserve"> </w:t>
      </w:r>
      <w:r>
        <w:rPr>
          <w:rFonts w:hint="eastAsia" w:eastAsia="仿宋_GB2312"/>
          <w:color w:val="auto"/>
          <w:sz w:val="24"/>
        </w:rPr>
        <w:t>根据现场踏勘发现，距离收费站管理区</w:t>
      </w:r>
      <w:r>
        <w:rPr>
          <w:rFonts w:hint="eastAsia" w:eastAsia="仿宋_GB2312"/>
          <w:color w:val="auto"/>
          <w:sz w:val="24"/>
          <w:lang w:eastAsia="zh-CN"/>
        </w:rPr>
        <w:t>南</w:t>
      </w:r>
      <w:r>
        <w:rPr>
          <w:rFonts w:hint="eastAsia" w:eastAsia="仿宋_GB2312"/>
          <w:color w:val="auto"/>
          <w:sz w:val="24"/>
        </w:rPr>
        <w:t>侧约</w:t>
      </w:r>
      <w:r>
        <w:rPr>
          <w:rFonts w:hint="eastAsia" w:eastAsia="仿宋_GB2312"/>
          <w:color w:val="auto"/>
          <w:sz w:val="24"/>
          <w:lang w:val="en-US" w:eastAsia="zh-CN"/>
        </w:rPr>
        <w:t>210</w:t>
      </w:r>
      <w:r>
        <w:rPr>
          <w:rFonts w:eastAsia="仿宋_GB2312"/>
          <w:color w:val="auto"/>
          <w:sz w:val="24"/>
        </w:rPr>
        <w:t>m</w:t>
      </w:r>
      <w:r>
        <w:rPr>
          <w:rFonts w:hint="eastAsia" w:eastAsia="仿宋_GB2312"/>
          <w:color w:val="auto"/>
          <w:sz w:val="24"/>
          <w:lang w:eastAsia="zh-CN"/>
        </w:rPr>
        <w:t>的</w:t>
      </w:r>
      <w:r>
        <w:rPr>
          <w:rFonts w:hint="eastAsia" w:eastAsia="仿宋_GB2312"/>
          <w:color w:val="auto"/>
          <w:sz w:val="24"/>
          <w:lang w:val="en-US" w:eastAsia="zh-CN"/>
        </w:rPr>
        <w:t>G206道路</w:t>
      </w:r>
      <w:r>
        <w:rPr>
          <w:rFonts w:hint="eastAsia" w:eastAsia="仿宋_GB2312"/>
          <w:color w:val="auto"/>
          <w:sz w:val="24"/>
          <w:lang w:eastAsia="zh-CN"/>
        </w:rPr>
        <w:t>人行道</w:t>
      </w:r>
      <w:r>
        <w:rPr>
          <w:rFonts w:hint="eastAsia" w:eastAsia="仿宋_GB2312"/>
          <w:color w:val="auto"/>
          <w:sz w:val="24"/>
        </w:rPr>
        <w:t>上有市政污水管网，污水管径</w:t>
      </w:r>
      <w:r>
        <w:rPr>
          <w:rFonts w:eastAsia="仿宋_GB2312"/>
          <w:color w:val="auto"/>
          <w:sz w:val="24"/>
        </w:rPr>
        <w:t>DN</w:t>
      </w:r>
      <w:r>
        <w:rPr>
          <w:rFonts w:hint="eastAsia" w:eastAsia="仿宋_GB2312"/>
          <w:color w:val="auto"/>
          <w:sz w:val="24"/>
          <w:lang w:val="en-US" w:eastAsia="zh-CN"/>
        </w:rPr>
        <w:t>10</w:t>
      </w:r>
      <w:r>
        <w:rPr>
          <w:rFonts w:eastAsia="仿宋_GB2312"/>
          <w:color w:val="auto"/>
          <w:sz w:val="24"/>
        </w:rPr>
        <w:t>00</w:t>
      </w:r>
      <w:r>
        <w:rPr>
          <w:rFonts w:hint="eastAsia" w:eastAsia="仿宋_GB2312"/>
          <w:color w:val="auto"/>
          <w:sz w:val="24"/>
        </w:rPr>
        <w:t>，本次建议收费站内生活污水统一收集后，提升接入该现状市政污水管网。</w:t>
      </w:r>
    </w:p>
    <w:p>
      <w:pPr>
        <w:pStyle w:val="296"/>
        <w:ind w:left="1007" w:leftChars="250" w:hanging="482" w:hangingChars="200"/>
        <w:rPr>
          <w:rFonts w:ascii="Times New Roman" w:hAnsi="Times New Roman" w:cs="Times New Roman"/>
          <w:color w:val="auto"/>
          <w:highlight w:val="yellow"/>
        </w:rPr>
      </w:pPr>
      <w:r>
        <w:rPr>
          <w:rFonts w:ascii="Times New Roman" w:hAnsi="Times New Roman" w:cs="Times New Roman"/>
          <w:color w:val="auto"/>
          <w:highlight w:val="yellow"/>
        </w:rPr>
        <w:t>3.</w:t>
      </w:r>
      <w:r>
        <w:rPr>
          <w:rFonts w:hint="eastAsia" w:ascii="Times New Roman" w:hAnsi="Times New Roman" w:cs="Times New Roman"/>
          <w:color w:val="auto"/>
          <w:highlight w:val="yellow"/>
          <w:lang w:val="en-US" w:eastAsia="zh-CN"/>
        </w:rPr>
        <w:t>6</w:t>
      </w:r>
      <w:r>
        <w:rPr>
          <w:rFonts w:ascii="Times New Roman" w:hAnsi="Times New Roman" w:cs="Times New Roman"/>
          <w:color w:val="auto"/>
          <w:highlight w:val="yellow"/>
        </w:rPr>
        <w:t>.3 设计方案</w:t>
      </w:r>
    </w:p>
    <w:p>
      <w:pPr>
        <w:tabs>
          <w:tab w:val="left" w:pos="525"/>
        </w:tabs>
        <w:adjustRightInd w:val="0"/>
        <w:snapToGrid w:val="0"/>
        <w:spacing w:line="360" w:lineRule="auto"/>
        <w:ind w:left="55" w:leftChars="26" w:firstLine="463" w:firstLineChars="192"/>
        <w:rPr>
          <w:rFonts w:eastAsia="仿宋_GB2312"/>
          <w:b/>
          <w:bCs/>
          <w:color w:val="auto"/>
          <w:sz w:val="24"/>
          <w:highlight w:val="yellow"/>
        </w:rPr>
      </w:pPr>
      <w:r>
        <w:rPr>
          <w:rFonts w:eastAsia="仿宋_GB2312"/>
          <w:b/>
          <w:bCs/>
          <w:color w:val="auto"/>
          <w:sz w:val="24"/>
          <w:highlight w:val="yellow"/>
        </w:rPr>
        <w:t>（1）污水系统设计</w:t>
      </w:r>
    </w:p>
    <w:p>
      <w:pPr>
        <w:tabs>
          <w:tab w:val="left" w:pos="525"/>
        </w:tabs>
        <w:adjustRightInd w:val="0"/>
        <w:snapToGrid w:val="0"/>
        <w:spacing w:line="360" w:lineRule="auto"/>
        <w:ind w:left="55" w:leftChars="26" w:firstLine="460" w:firstLineChars="192"/>
        <w:jc w:val="left"/>
        <w:rPr>
          <w:rFonts w:eastAsia="仿宋_GB2312"/>
          <w:color w:val="auto"/>
          <w:sz w:val="24"/>
          <w:highlight w:val="yellow"/>
        </w:rPr>
      </w:pPr>
      <w:r>
        <w:rPr>
          <w:rFonts w:hint="eastAsia" w:eastAsia="仿宋_GB2312"/>
          <w:color w:val="auto"/>
          <w:sz w:val="24"/>
          <w:highlight w:val="yellow"/>
        </w:rPr>
        <w:t>①将收费站办公宿舍楼、食堂等建筑物排入旧处理设备的污水管道进行截留，统一收集后接至站区内化粪池</w:t>
      </w:r>
      <w:r>
        <w:rPr>
          <w:rFonts w:hint="eastAsia" w:eastAsia="仿宋_GB2312"/>
          <w:color w:val="auto"/>
          <w:sz w:val="24"/>
          <w:highlight w:val="yellow"/>
          <w:lang w:eastAsia="zh-CN"/>
        </w:rPr>
        <w:t>，站区内化粪池需进行清掏</w:t>
      </w:r>
      <w:r>
        <w:rPr>
          <w:rFonts w:hint="eastAsia" w:eastAsia="仿宋_GB2312"/>
          <w:color w:val="auto"/>
          <w:sz w:val="24"/>
          <w:highlight w:val="yellow"/>
        </w:rPr>
        <w:t>；②污水经化粪池预处理后，在</w:t>
      </w:r>
      <w:r>
        <w:rPr>
          <w:rFonts w:hint="eastAsia" w:eastAsia="仿宋_GB2312"/>
          <w:color w:val="auto"/>
          <w:sz w:val="24"/>
          <w:highlight w:val="yellow"/>
          <w:lang w:eastAsia="zh-CN"/>
        </w:rPr>
        <w:t>管理处</w:t>
      </w:r>
      <w:r>
        <w:rPr>
          <w:rFonts w:hint="eastAsia" w:eastAsia="仿宋_GB2312"/>
          <w:color w:val="auto"/>
          <w:sz w:val="24"/>
          <w:highlight w:val="yellow"/>
        </w:rPr>
        <w:t>西侧新建泵井（钢混地下结构，单泵流量Q=3m3/h，H=</w:t>
      </w:r>
      <w:r>
        <w:rPr>
          <w:rFonts w:hint="eastAsia" w:eastAsia="仿宋_GB2312"/>
          <w:color w:val="auto"/>
          <w:sz w:val="24"/>
          <w:highlight w:val="yellow"/>
          <w:lang w:val="en-US" w:eastAsia="zh-CN"/>
        </w:rPr>
        <w:t>10</w:t>
      </w:r>
      <w:r>
        <w:rPr>
          <w:rFonts w:hint="eastAsia" w:eastAsia="仿宋_GB2312"/>
          <w:color w:val="auto"/>
          <w:sz w:val="24"/>
          <w:highlight w:val="yellow"/>
        </w:rPr>
        <w:t>m，1用1备），将污水抽排后沿</w:t>
      </w:r>
      <w:r>
        <w:rPr>
          <w:rFonts w:hint="eastAsia" w:eastAsia="仿宋_GB2312"/>
          <w:color w:val="auto"/>
          <w:sz w:val="24"/>
          <w:highlight w:val="yellow"/>
          <w:lang w:eastAsia="zh-CN"/>
        </w:rPr>
        <w:t>管理处绿化带</w:t>
      </w:r>
      <w:r>
        <w:rPr>
          <w:rFonts w:hint="eastAsia" w:eastAsia="仿宋_GB2312"/>
          <w:color w:val="auto"/>
          <w:sz w:val="24"/>
          <w:highlight w:val="yellow"/>
        </w:rPr>
        <w:t>向</w:t>
      </w:r>
      <w:r>
        <w:rPr>
          <w:rFonts w:hint="eastAsia" w:eastAsia="仿宋_GB2312"/>
          <w:color w:val="auto"/>
          <w:sz w:val="24"/>
          <w:highlight w:val="yellow"/>
          <w:lang w:eastAsia="zh-CN"/>
        </w:rPr>
        <w:t>南</w:t>
      </w:r>
      <w:r>
        <w:rPr>
          <w:rFonts w:hint="eastAsia" w:eastAsia="仿宋_GB2312"/>
          <w:color w:val="auto"/>
          <w:sz w:val="24"/>
          <w:highlight w:val="yellow"/>
        </w:rPr>
        <w:t>敷设</w:t>
      </w:r>
      <w:r>
        <w:rPr>
          <w:rFonts w:hint="eastAsia" w:eastAsia="仿宋_GB2312"/>
          <w:color w:val="auto"/>
          <w:sz w:val="24"/>
          <w:highlight w:val="yellow"/>
          <w:lang w:eastAsia="zh-CN"/>
        </w:rPr>
        <w:t>，使用</w:t>
      </w:r>
      <w:r>
        <w:rPr>
          <w:rFonts w:hint="eastAsia" w:eastAsia="仿宋_GB2312"/>
          <w:color w:val="auto"/>
          <w:sz w:val="24"/>
          <w:highlight w:val="yellow"/>
          <w:lang w:val="en-US" w:eastAsia="zh-CN"/>
        </w:rPr>
        <w:t>DN110拖管穿越G206道路接</w:t>
      </w:r>
      <w:r>
        <w:rPr>
          <w:rFonts w:hint="eastAsia" w:eastAsia="仿宋_GB2312"/>
          <w:color w:val="auto"/>
          <w:sz w:val="24"/>
          <w:highlight w:val="yellow"/>
        </w:rPr>
        <w:t>至</w:t>
      </w:r>
      <w:r>
        <w:rPr>
          <w:rFonts w:hint="eastAsia" w:eastAsia="仿宋_GB2312"/>
          <w:color w:val="auto"/>
          <w:sz w:val="24"/>
          <w:highlight w:val="yellow"/>
          <w:lang w:eastAsia="zh-CN"/>
        </w:rPr>
        <w:t>马路南侧人行道路市政</w:t>
      </w:r>
      <w:r>
        <w:rPr>
          <w:rFonts w:hint="eastAsia" w:eastAsia="仿宋_GB2312"/>
          <w:color w:val="auto"/>
          <w:sz w:val="24"/>
          <w:highlight w:val="yellow"/>
        </w:rPr>
        <w:t>污水管网，经消能井后改为重力直排接入安丰镇现状市政污水管网内，敷设总长度约</w:t>
      </w:r>
      <w:r>
        <w:rPr>
          <w:rFonts w:hint="eastAsia" w:eastAsia="仿宋_GB2312"/>
          <w:color w:val="auto"/>
          <w:sz w:val="24"/>
          <w:highlight w:val="yellow"/>
          <w:lang w:val="en-US" w:eastAsia="zh-CN"/>
        </w:rPr>
        <w:t>202</w:t>
      </w:r>
      <w:r>
        <w:rPr>
          <w:rFonts w:hint="eastAsia" w:eastAsia="仿宋_GB2312"/>
          <w:color w:val="auto"/>
          <w:sz w:val="24"/>
          <w:highlight w:val="yellow"/>
        </w:rPr>
        <w:t>m，压力管径DN50，重力管径DN300；③新建泵井供电电源可从设备房配电间直接引接，引接长度约</w:t>
      </w:r>
      <w:r>
        <w:rPr>
          <w:rFonts w:hint="eastAsia" w:eastAsia="仿宋_GB2312"/>
          <w:color w:val="auto"/>
          <w:sz w:val="24"/>
          <w:highlight w:val="yellow"/>
          <w:lang w:val="en-US" w:eastAsia="zh-CN"/>
        </w:rPr>
        <w:t>70</w:t>
      </w:r>
      <w:r>
        <w:rPr>
          <w:rFonts w:hint="eastAsia" w:eastAsia="仿宋_GB2312"/>
          <w:color w:val="auto"/>
          <w:sz w:val="24"/>
          <w:highlight w:val="yellow"/>
        </w:rPr>
        <w:t>m，站区配电预留功率约500kw，可满足新建泵井约0.75kw（单泵）的用电需求。</w:t>
      </w:r>
      <w:r>
        <w:drawing>
          <wp:inline distT="0" distB="0" distL="114300" distR="114300">
            <wp:extent cx="6382385" cy="4201795"/>
            <wp:effectExtent l="0" t="0" r="8890" b="825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18"/>
                    <a:srcRect b="376"/>
                    <a:stretch>
                      <a:fillRect/>
                    </a:stretch>
                  </pic:blipFill>
                  <pic:spPr>
                    <a:xfrm>
                      <a:off x="0" y="0"/>
                      <a:ext cx="6382385" cy="4201795"/>
                    </a:xfrm>
                    <a:prstGeom prst="rect">
                      <a:avLst/>
                    </a:prstGeom>
                    <a:noFill/>
                    <a:ln>
                      <a:noFill/>
                    </a:ln>
                  </pic:spPr>
                </pic:pic>
              </a:graphicData>
            </a:graphic>
          </wp:inline>
        </w:drawing>
      </w:r>
    </w:p>
    <w:p>
      <w:pPr>
        <w:tabs>
          <w:tab w:val="left" w:pos="525"/>
        </w:tabs>
        <w:adjustRightInd w:val="0"/>
        <w:snapToGrid w:val="0"/>
        <w:spacing w:line="360" w:lineRule="auto"/>
        <w:ind w:left="55" w:leftChars="26" w:firstLine="463" w:firstLineChars="192"/>
        <w:jc w:val="center"/>
        <w:rPr>
          <w:rFonts w:eastAsia="仿宋_GB2312"/>
          <w:b/>
          <w:bCs/>
          <w:color w:val="auto"/>
          <w:sz w:val="24"/>
          <w:highlight w:val="yellow"/>
        </w:rPr>
      </w:pPr>
      <w:r>
        <w:rPr>
          <w:rFonts w:hint="eastAsia" w:eastAsia="仿宋_GB2312"/>
          <w:b/>
          <w:bCs/>
          <w:color w:val="auto"/>
          <w:sz w:val="24"/>
          <w:highlight w:val="yellow"/>
          <w:lang w:eastAsia="zh-CN"/>
        </w:rPr>
        <w:t>蚌埠西</w:t>
      </w:r>
      <w:r>
        <w:rPr>
          <w:rFonts w:hint="eastAsia" w:eastAsia="仿宋_GB2312"/>
          <w:b/>
          <w:bCs/>
          <w:color w:val="auto"/>
          <w:sz w:val="24"/>
          <w:highlight w:val="yellow"/>
        </w:rPr>
        <w:t>收费站污水系统设计图</w:t>
      </w:r>
    </w:p>
    <w:p>
      <w:pPr>
        <w:tabs>
          <w:tab w:val="left" w:pos="525"/>
        </w:tabs>
        <w:adjustRightInd w:val="0"/>
        <w:snapToGrid w:val="0"/>
        <w:spacing w:line="360" w:lineRule="auto"/>
        <w:ind w:left="55" w:leftChars="26" w:firstLine="463" w:firstLineChars="192"/>
        <w:rPr>
          <w:rFonts w:eastAsia="仿宋_GB2312"/>
          <w:b/>
          <w:bCs/>
          <w:color w:val="auto"/>
          <w:sz w:val="24"/>
          <w:highlight w:val="yellow"/>
        </w:rPr>
      </w:pPr>
      <w:r>
        <w:rPr>
          <w:rFonts w:eastAsia="仿宋_GB2312"/>
          <w:b/>
          <w:bCs/>
          <w:color w:val="auto"/>
          <w:sz w:val="24"/>
          <w:highlight w:val="yellow"/>
        </w:rPr>
        <w:t>（2）泵站设计</w:t>
      </w:r>
    </w:p>
    <w:p>
      <w:pPr>
        <w:tabs>
          <w:tab w:val="left" w:pos="525"/>
        </w:tabs>
        <w:adjustRightInd w:val="0"/>
        <w:snapToGrid w:val="0"/>
        <w:spacing w:line="360" w:lineRule="auto"/>
        <w:ind w:left="55" w:leftChars="26" w:firstLine="460" w:firstLineChars="192"/>
        <w:rPr>
          <w:rFonts w:eastAsia="仿宋_GB2312"/>
          <w:color w:val="auto"/>
          <w:sz w:val="24"/>
          <w:highlight w:val="yellow"/>
        </w:rPr>
      </w:pPr>
      <w:r>
        <w:rPr>
          <w:rFonts w:eastAsia="仿宋_GB2312"/>
          <w:color w:val="auto"/>
          <w:sz w:val="24"/>
          <w:highlight w:val="yellow"/>
        </w:rPr>
        <w:t>拟建泵站位于</w:t>
      </w:r>
      <w:r>
        <w:rPr>
          <w:rFonts w:hint="eastAsia" w:eastAsia="仿宋_GB2312"/>
          <w:color w:val="auto"/>
          <w:sz w:val="24"/>
          <w:highlight w:val="yellow"/>
          <w:lang w:eastAsia="zh-CN"/>
        </w:rPr>
        <w:t>蚌埠西</w:t>
      </w:r>
      <w:r>
        <w:rPr>
          <w:rFonts w:hint="eastAsia" w:eastAsia="仿宋_GB2312"/>
          <w:color w:val="auto"/>
          <w:sz w:val="24"/>
          <w:highlight w:val="yellow"/>
        </w:rPr>
        <w:t>收费站西侧绿地</w:t>
      </w:r>
      <w:r>
        <w:rPr>
          <w:rFonts w:eastAsia="仿宋_GB2312"/>
          <w:color w:val="auto"/>
          <w:sz w:val="24"/>
          <w:highlight w:val="yellow"/>
        </w:rPr>
        <w:t>，采用</w:t>
      </w:r>
      <w:r>
        <w:rPr>
          <w:rFonts w:hint="eastAsia" w:eastAsia="仿宋_GB2312"/>
          <w:color w:val="auto"/>
          <w:sz w:val="24"/>
          <w:highlight w:val="yellow"/>
        </w:rPr>
        <w:t>全</w:t>
      </w:r>
      <w:r>
        <w:rPr>
          <w:rFonts w:eastAsia="仿宋_GB2312"/>
          <w:color w:val="auto"/>
          <w:sz w:val="24"/>
          <w:highlight w:val="yellow"/>
        </w:rPr>
        <w:t>地下式，主要包括泵坑、配电柜。泵坑采用钢筋混凝土结构，尺寸为</w:t>
      </w:r>
      <w:r>
        <w:rPr>
          <w:rFonts w:hint="eastAsia" w:eastAsia="仿宋_GB2312"/>
          <w:color w:val="auto"/>
          <w:sz w:val="24"/>
          <w:highlight w:val="yellow"/>
        </w:rPr>
        <w:t>3</w:t>
      </w:r>
      <w:r>
        <w:rPr>
          <w:rFonts w:eastAsia="仿宋_GB2312"/>
          <w:color w:val="auto"/>
          <w:sz w:val="24"/>
          <w:highlight w:val="yellow"/>
        </w:rPr>
        <w:t>m</w:t>
      </w:r>
      <w:r>
        <w:rPr>
          <w:rFonts w:hint="eastAsia" w:eastAsia="仿宋_GB2312"/>
          <w:color w:val="auto"/>
          <w:sz w:val="24"/>
          <w:highlight w:val="yellow"/>
        </w:rPr>
        <w:t>×2m×3.5m</w:t>
      </w:r>
      <w:r>
        <w:rPr>
          <w:rFonts w:eastAsia="仿宋_GB2312"/>
          <w:color w:val="auto"/>
          <w:sz w:val="24"/>
          <w:highlight w:val="yellow"/>
        </w:rPr>
        <w:t>，内置2台潜污泵（1用1备）、出水管、阀门、服务平台、通风管、提升链、液位计等全套设备，水泵采用湿式安装，单台水泵参数为Q=3m3/</w:t>
      </w:r>
      <w:r>
        <w:rPr>
          <w:rFonts w:hint="eastAsia" w:eastAsia="仿宋_GB2312"/>
          <w:color w:val="auto"/>
          <w:sz w:val="24"/>
          <w:highlight w:val="yellow"/>
        </w:rPr>
        <w:t>h</w:t>
      </w:r>
      <w:r>
        <w:rPr>
          <w:rFonts w:eastAsia="仿宋_GB2312"/>
          <w:color w:val="auto"/>
          <w:sz w:val="24"/>
          <w:highlight w:val="yellow"/>
        </w:rPr>
        <w:t>、H=</w:t>
      </w:r>
      <w:r>
        <w:rPr>
          <w:rFonts w:hint="eastAsia" w:eastAsia="仿宋_GB2312"/>
          <w:color w:val="auto"/>
          <w:sz w:val="24"/>
          <w:highlight w:val="yellow"/>
          <w:lang w:val="en-US" w:eastAsia="zh-CN"/>
        </w:rPr>
        <w:t>10</w:t>
      </w:r>
      <w:r>
        <w:rPr>
          <w:rFonts w:eastAsia="仿宋_GB2312"/>
          <w:color w:val="auto"/>
          <w:sz w:val="24"/>
          <w:highlight w:val="yellow"/>
        </w:rPr>
        <w:t>m、P=0.75kW。水泵运行曲线如下图</w:t>
      </w:r>
      <w:r>
        <w:rPr>
          <w:rFonts w:hint="eastAsia" w:eastAsia="仿宋_GB2312"/>
          <w:color w:val="auto"/>
          <w:sz w:val="24"/>
          <w:highlight w:val="yellow"/>
        </w:rPr>
        <w:t>1</w:t>
      </w:r>
      <w:bookmarkStart w:id="9" w:name="_GoBack"/>
      <w:bookmarkEnd w:id="9"/>
      <w:r>
        <w:rPr>
          <w:rFonts w:eastAsia="仿宋_GB2312"/>
          <w:color w:val="auto"/>
          <w:sz w:val="24"/>
          <w:highlight w:val="yellow"/>
        </w:rPr>
        <w:t>：</w:t>
      </w:r>
    </w:p>
    <w:p>
      <w:pPr>
        <w:tabs>
          <w:tab w:val="left" w:pos="525"/>
        </w:tabs>
        <w:adjustRightInd w:val="0"/>
        <w:snapToGrid w:val="0"/>
        <w:spacing w:line="360" w:lineRule="auto"/>
        <w:jc w:val="center"/>
        <w:rPr>
          <w:rFonts w:eastAsia="仿宋_GB2312"/>
          <w:b/>
          <w:bCs/>
          <w:color w:val="auto"/>
          <w:sz w:val="24"/>
          <w:highlight w:val="yellow"/>
        </w:rPr>
      </w:pPr>
      <w:r>
        <w:rPr>
          <w:color w:val="auto"/>
          <w:highlight w:val="yellow"/>
        </w:rPr>
        <w:drawing>
          <wp:inline distT="0" distB="0" distL="0" distR="0">
            <wp:extent cx="3810000" cy="38481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0"/>
                    <a:stretch>
                      <a:fillRect/>
                    </a:stretch>
                  </pic:blipFill>
                  <pic:spPr>
                    <a:xfrm>
                      <a:off x="0" y="0"/>
                      <a:ext cx="3810000" cy="3848100"/>
                    </a:xfrm>
                    <a:prstGeom prst="rect">
                      <a:avLst/>
                    </a:prstGeom>
                  </pic:spPr>
                </pic:pic>
              </a:graphicData>
            </a:graphic>
          </wp:inline>
        </w:drawing>
      </w:r>
    </w:p>
    <w:p>
      <w:pPr>
        <w:tabs>
          <w:tab w:val="left" w:pos="525"/>
        </w:tabs>
        <w:adjustRightInd w:val="0"/>
        <w:snapToGrid w:val="0"/>
        <w:spacing w:line="360" w:lineRule="auto"/>
        <w:jc w:val="center"/>
        <w:rPr>
          <w:rFonts w:eastAsia="仿宋_GB2312"/>
          <w:b/>
          <w:bCs/>
          <w:color w:val="auto"/>
          <w:sz w:val="24"/>
          <w:highlight w:val="yellow"/>
        </w:rPr>
      </w:pPr>
      <w:r>
        <w:rPr>
          <w:rFonts w:hint="eastAsia" w:eastAsia="仿宋_GB2312"/>
          <w:b/>
          <w:bCs/>
          <w:color w:val="auto"/>
          <w:sz w:val="24"/>
          <w:highlight w:val="yellow"/>
          <w:lang w:eastAsia="zh-CN"/>
        </w:rPr>
        <w:t>蚌埠西</w:t>
      </w:r>
      <w:r>
        <w:rPr>
          <w:rFonts w:hint="eastAsia" w:eastAsia="仿宋_GB2312"/>
          <w:b/>
          <w:bCs/>
          <w:color w:val="auto"/>
          <w:sz w:val="24"/>
          <w:highlight w:val="yellow"/>
        </w:rPr>
        <w:t>收费站水泵运行曲线图</w:t>
      </w:r>
    </w:p>
    <w:p>
      <w:pPr>
        <w:pStyle w:val="295"/>
        <w:ind w:left="0" w:leftChars="0" w:firstLine="0" w:firstLineChars="0"/>
        <w:rPr>
          <w:rFonts w:hint="eastAsia"/>
          <w:color w:val="auto"/>
        </w:rPr>
      </w:pPr>
    </w:p>
    <w:p>
      <w:pPr>
        <w:pStyle w:val="295"/>
        <w:rPr>
          <w:color w:val="auto"/>
        </w:rPr>
      </w:pPr>
      <w:r>
        <w:rPr>
          <w:color w:val="auto"/>
        </w:rPr>
        <w:t>3.</w:t>
      </w:r>
      <w:r>
        <w:rPr>
          <w:rFonts w:hint="eastAsia"/>
          <w:color w:val="auto"/>
        </w:rPr>
        <w:t>7池州中心</w:t>
      </w:r>
      <w:r>
        <w:rPr>
          <w:color w:val="auto"/>
        </w:rPr>
        <w:t>——</w:t>
      </w:r>
      <w:r>
        <w:rPr>
          <w:rFonts w:hint="eastAsia"/>
          <w:color w:val="auto"/>
        </w:rPr>
        <w:t>铜陵东收费站</w:t>
      </w:r>
    </w:p>
    <w:p>
      <w:pPr>
        <w:pStyle w:val="295"/>
        <w:rPr>
          <w:color w:val="auto"/>
        </w:rPr>
      </w:pPr>
      <w:r>
        <w:rPr>
          <w:color w:val="auto"/>
        </w:rPr>
        <w:t>3.</w:t>
      </w:r>
      <w:r>
        <w:rPr>
          <w:rFonts w:hint="eastAsia"/>
          <w:color w:val="auto"/>
        </w:rPr>
        <w:t>8池州中心</w:t>
      </w:r>
      <w:r>
        <w:rPr>
          <w:color w:val="auto"/>
        </w:rPr>
        <w:t>——</w:t>
      </w:r>
      <w:r>
        <w:rPr>
          <w:rFonts w:hint="eastAsia"/>
          <w:color w:val="auto"/>
        </w:rPr>
        <w:t>东流收费站</w:t>
      </w:r>
    </w:p>
    <w:p>
      <w:pPr>
        <w:pStyle w:val="295"/>
        <w:rPr>
          <w:color w:val="auto"/>
        </w:rPr>
      </w:pPr>
      <w:r>
        <w:rPr>
          <w:color w:val="auto"/>
        </w:rPr>
        <w:t>3.</w:t>
      </w:r>
      <w:r>
        <w:rPr>
          <w:rFonts w:hint="eastAsia"/>
          <w:color w:val="auto"/>
        </w:rPr>
        <w:t>9池州中心</w:t>
      </w:r>
      <w:r>
        <w:rPr>
          <w:color w:val="auto"/>
        </w:rPr>
        <w:t>——</w:t>
      </w:r>
      <w:r>
        <w:rPr>
          <w:rFonts w:hint="eastAsia"/>
          <w:color w:val="auto"/>
        </w:rPr>
        <w:t>铜陵东养护工区</w:t>
      </w:r>
    </w:p>
    <w:p>
      <w:pPr>
        <w:pStyle w:val="295"/>
        <w:rPr>
          <w:color w:val="auto"/>
        </w:rPr>
      </w:pPr>
      <w:r>
        <w:rPr>
          <w:color w:val="auto"/>
        </w:rPr>
        <w:t>3.</w:t>
      </w:r>
      <w:r>
        <w:rPr>
          <w:rFonts w:hint="eastAsia"/>
          <w:color w:val="auto"/>
        </w:rPr>
        <w:t>10滁州管理处</w:t>
      </w:r>
      <w:r>
        <w:rPr>
          <w:color w:val="auto"/>
        </w:rPr>
        <w:t>——</w:t>
      </w:r>
      <w:r>
        <w:rPr>
          <w:rFonts w:hint="eastAsia"/>
          <w:color w:val="auto"/>
        </w:rPr>
        <w:t>吴庄收费站</w:t>
      </w:r>
    </w:p>
    <w:p>
      <w:pPr>
        <w:pStyle w:val="295"/>
        <w:rPr>
          <w:color w:val="auto"/>
        </w:rPr>
      </w:pPr>
      <w:r>
        <w:rPr>
          <w:color w:val="auto"/>
        </w:rPr>
        <w:t>3.</w:t>
      </w:r>
      <w:r>
        <w:rPr>
          <w:rFonts w:hint="eastAsia"/>
          <w:color w:val="auto"/>
        </w:rPr>
        <w:t>11滁州管理处</w:t>
      </w:r>
      <w:r>
        <w:rPr>
          <w:color w:val="auto"/>
        </w:rPr>
        <w:t>——</w:t>
      </w:r>
      <w:r>
        <w:rPr>
          <w:rFonts w:hint="eastAsia"/>
          <w:color w:val="auto"/>
        </w:rPr>
        <w:t>大墅养护工区</w:t>
      </w:r>
    </w:p>
    <w:p>
      <w:pPr>
        <w:pStyle w:val="295"/>
        <w:rPr>
          <w:color w:val="auto"/>
        </w:rPr>
      </w:pPr>
      <w:r>
        <w:rPr>
          <w:color w:val="auto"/>
        </w:rPr>
        <w:t>3.</w:t>
      </w:r>
      <w:r>
        <w:rPr>
          <w:rFonts w:hint="eastAsia"/>
          <w:color w:val="auto"/>
        </w:rPr>
        <w:t>12阜阳管理处</w:t>
      </w:r>
      <w:r>
        <w:rPr>
          <w:color w:val="auto"/>
        </w:rPr>
        <w:t>——</w:t>
      </w:r>
      <w:r>
        <w:rPr>
          <w:rFonts w:hint="eastAsia"/>
          <w:color w:val="auto"/>
        </w:rPr>
        <w:t>颖上收费站</w:t>
      </w:r>
    </w:p>
    <w:p>
      <w:pPr>
        <w:pStyle w:val="295"/>
        <w:rPr>
          <w:color w:val="auto"/>
        </w:rPr>
      </w:pPr>
      <w:r>
        <w:rPr>
          <w:color w:val="auto"/>
        </w:rPr>
        <w:t>3.</w:t>
      </w:r>
      <w:r>
        <w:rPr>
          <w:rFonts w:hint="eastAsia"/>
          <w:color w:val="auto"/>
        </w:rPr>
        <w:t>13阜阳管理处</w:t>
      </w:r>
      <w:r>
        <w:rPr>
          <w:color w:val="auto"/>
        </w:rPr>
        <w:t>——</w:t>
      </w:r>
      <w:r>
        <w:rPr>
          <w:rFonts w:hint="eastAsia"/>
          <w:color w:val="auto"/>
        </w:rPr>
        <w:t>颖淮大道收费站</w:t>
      </w:r>
    </w:p>
    <w:p>
      <w:pPr>
        <w:pStyle w:val="295"/>
        <w:rPr>
          <w:color w:val="auto"/>
        </w:rPr>
      </w:pPr>
      <w:r>
        <w:rPr>
          <w:color w:val="auto"/>
        </w:rPr>
        <w:t>3.</w:t>
      </w:r>
      <w:r>
        <w:rPr>
          <w:rFonts w:hint="eastAsia"/>
          <w:color w:val="auto"/>
        </w:rPr>
        <w:t>14阜阳管理处</w:t>
      </w:r>
      <w:r>
        <w:rPr>
          <w:color w:val="auto"/>
        </w:rPr>
        <w:t>——</w:t>
      </w:r>
      <w:r>
        <w:rPr>
          <w:rFonts w:hint="eastAsia"/>
          <w:color w:val="auto"/>
        </w:rPr>
        <w:t>阜南收费站</w:t>
      </w:r>
    </w:p>
    <w:p>
      <w:pPr>
        <w:pStyle w:val="295"/>
        <w:rPr>
          <w:color w:val="auto"/>
        </w:rPr>
      </w:pPr>
      <w:r>
        <w:rPr>
          <w:color w:val="auto"/>
        </w:rPr>
        <w:t>3.</w:t>
      </w:r>
      <w:r>
        <w:rPr>
          <w:rFonts w:hint="eastAsia"/>
          <w:color w:val="auto"/>
        </w:rPr>
        <w:t>15阜阳管理处</w:t>
      </w:r>
      <w:r>
        <w:rPr>
          <w:color w:val="auto"/>
        </w:rPr>
        <w:t>——</w:t>
      </w:r>
      <w:r>
        <w:rPr>
          <w:rFonts w:hint="eastAsia"/>
          <w:color w:val="auto"/>
        </w:rPr>
        <w:t>临泉收费站</w:t>
      </w:r>
    </w:p>
    <w:p>
      <w:pPr>
        <w:pStyle w:val="295"/>
        <w:rPr>
          <w:color w:val="auto"/>
        </w:rPr>
      </w:pPr>
      <w:r>
        <w:rPr>
          <w:color w:val="auto"/>
        </w:rPr>
        <w:t>3.</w:t>
      </w:r>
      <w:r>
        <w:rPr>
          <w:rFonts w:hint="eastAsia"/>
          <w:color w:val="auto"/>
        </w:rPr>
        <w:t>16高界管理处</w:t>
      </w:r>
      <w:r>
        <w:rPr>
          <w:color w:val="auto"/>
        </w:rPr>
        <w:t>——</w:t>
      </w:r>
      <w:r>
        <w:rPr>
          <w:rFonts w:hint="eastAsia"/>
          <w:color w:val="auto"/>
        </w:rPr>
        <w:t>天柱山收费站</w:t>
      </w:r>
    </w:p>
    <w:p>
      <w:pPr>
        <w:pStyle w:val="295"/>
        <w:rPr>
          <w:color w:val="auto"/>
        </w:rPr>
      </w:pPr>
      <w:r>
        <w:rPr>
          <w:color w:val="auto"/>
        </w:rPr>
        <w:t>3.</w:t>
      </w:r>
      <w:r>
        <w:rPr>
          <w:rFonts w:hint="eastAsia"/>
          <w:color w:val="auto"/>
        </w:rPr>
        <w:t>17高界管理处</w:t>
      </w:r>
      <w:r>
        <w:rPr>
          <w:color w:val="auto"/>
        </w:rPr>
        <w:t>——</w:t>
      </w:r>
      <w:r>
        <w:rPr>
          <w:rFonts w:hint="eastAsia"/>
          <w:color w:val="auto"/>
        </w:rPr>
        <w:t>车轴寺收费站</w:t>
      </w:r>
    </w:p>
    <w:p>
      <w:pPr>
        <w:pStyle w:val="295"/>
        <w:rPr>
          <w:color w:val="auto"/>
        </w:rPr>
      </w:pPr>
      <w:r>
        <w:rPr>
          <w:color w:val="auto"/>
        </w:rPr>
        <w:t>3.</w:t>
      </w:r>
      <w:r>
        <w:rPr>
          <w:rFonts w:hint="eastAsia"/>
          <w:color w:val="auto"/>
        </w:rPr>
        <w:t>18高界管理处</w:t>
      </w:r>
      <w:r>
        <w:rPr>
          <w:color w:val="auto"/>
        </w:rPr>
        <w:t>——</w:t>
      </w:r>
      <w:r>
        <w:rPr>
          <w:rFonts w:hint="eastAsia"/>
          <w:color w:val="auto"/>
        </w:rPr>
        <w:t>太湖收费站</w:t>
      </w:r>
    </w:p>
    <w:p>
      <w:pPr>
        <w:pStyle w:val="295"/>
        <w:rPr>
          <w:color w:val="auto"/>
        </w:rPr>
      </w:pPr>
      <w:r>
        <w:rPr>
          <w:color w:val="auto"/>
        </w:rPr>
        <w:t>3.</w:t>
      </w:r>
      <w:r>
        <w:rPr>
          <w:rFonts w:hint="eastAsia"/>
          <w:color w:val="auto"/>
        </w:rPr>
        <w:t>19合安管理处</w:t>
      </w:r>
      <w:r>
        <w:rPr>
          <w:color w:val="auto"/>
        </w:rPr>
        <w:t>——</w:t>
      </w:r>
      <w:r>
        <w:rPr>
          <w:rFonts w:hint="eastAsia"/>
          <w:color w:val="auto"/>
        </w:rPr>
        <w:t>安庆收费站</w:t>
      </w:r>
    </w:p>
    <w:p>
      <w:pPr>
        <w:pStyle w:val="295"/>
        <w:rPr>
          <w:color w:val="auto"/>
        </w:rPr>
      </w:pPr>
      <w:r>
        <w:rPr>
          <w:color w:val="auto"/>
        </w:rPr>
        <w:t>3.</w:t>
      </w:r>
      <w:r>
        <w:rPr>
          <w:rFonts w:hint="eastAsia"/>
          <w:color w:val="auto"/>
        </w:rPr>
        <w:t>20淮南管理处</w:t>
      </w:r>
      <w:r>
        <w:rPr>
          <w:color w:val="auto"/>
        </w:rPr>
        <w:t>——</w:t>
      </w:r>
      <w:r>
        <w:rPr>
          <w:rFonts w:hint="eastAsia"/>
          <w:color w:val="auto"/>
        </w:rPr>
        <w:t>寿县收费站</w:t>
      </w:r>
    </w:p>
    <w:p>
      <w:pPr>
        <w:pStyle w:val="295"/>
        <w:rPr>
          <w:color w:val="auto"/>
        </w:rPr>
      </w:pPr>
      <w:r>
        <w:rPr>
          <w:color w:val="auto"/>
        </w:rPr>
        <w:t>3.</w:t>
      </w:r>
      <w:r>
        <w:rPr>
          <w:rFonts w:hint="eastAsia"/>
          <w:color w:val="auto"/>
        </w:rPr>
        <w:t>21淮南管理处</w:t>
      </w:r>
      <w:r>
        <w:rPr>
          <w:color w:val="auto"/>
        </w:rPr>
        <w:t>——</w:t>
      </w:r>
      <w:r>
        <w:rPr>
          <w:rFonts w:hint="eastAsia"/>
          <w:color w:val="auto"/>
        </w:rPr>
        <w:t>安丰塘收费站</w:t>
      </w:r>
    </w:p>
    <w:p>
      <w:pPr>
        <w:pStyle w:val="295"/>
        <w:rPr>
          <w:color w:val="auto"/>
        </w:rPr>
      </w:pPr>
      <w:r>
        <w:rPr>
          <w:color w:val="auto"/>
        </w:rPr>
        <w:t>3.</w:t>
      </w:r>
      <w:r>
        <w:rPr>
          <w:rFonts w:hint="eastAsia"/>
          <w:color w:val="auto"/>
        </w:rPr>
        <w:t>22淮南管理处</w:t>
      </w:r>
      <w:r>
        <w:rPr>
          <w:color w:val="auto"/>
        </w:rPr>
        <w:t>——</w:t>
      </w:r>
      <w:r>
        <w:rPr>
          <w:rFonts w:hint="eastAsia"/>
          <w:color w:val="auto"/>
        </w:rPr>
        <w:t>凤台北收费站</w:t>
      </w:r>
    </w:p>
    <w:p>
      <w:pPr>
        <w:pStyle w:val="295"/>
        <w:rPr>
          <w:color w:val="auto"/>
        </w:rPr>
      </w:pPr>
      <w:r>
        <w:rPr>
          <w:color w:val="auto"/>
        </w:rPr>
        <w:t>3.</w:t>
      </w:r>
      <w:r>
        <w:rPr>
          <w:rFonts w:hint="eastAsia"/>
          <w:color w:val="auto"/>
        </w:rPr>
        <w:t>23黄山中心</w:t>
      </w:r>
      <w:r>
        <w:rPr>
          <w:color w:val="auto"/>
        </w:rPr>
        <w:t>——</w:t>
      </w:r>
      <w:r>
        <w:rPr>
          <w:rFonts w:hint="eastAsia"/>
          <w:color w:val="auto"/>
        </w:rPr>
        <w:t>汤口收费站</w:t>
      </w:r>
    </w:p>
    <w:p>
      <w:pPr>
        <w:pStyle w:val="295"/>
        <w:rPr>
          <w:color w:val="auto"/>
        </w:rPr>
      </w:pPr>
      <w:r>
        <w:rPr>
          <w:color w:val="auto"/>
        </w:rPr>
        <w:t>3.</w:t>
      </w:r>
      <w:r>
        <w:rPr>
          <w:rFonts w:hint="eastAsia"/>
          <w:color w:val="auto"/>
        </w:rPr>
        <w:t>24界阜蚌公司</w:t>
      </w:r>
      <w:r>
        <w:rPr>
          <w:color w:val="auto"/>
        </w:rPr>
        <w:t>——</w:t>
      </w:r>
      <w:r>
        <w:rPr>
          <w:rFonts w:hint="eastAsia"/>
          <w:color w:val="auto"/>
        </w:rPr>
        <w:t>利辛东收费站</w:t>
      </w:r>
    </w:p>
    <w:p>
      <w:pPr>
        <w:pStyle w:val="295"/>
        <w:rPr>
          <w:color w:val="auto"/>
        </w:rPr>
      </w:pPr>
      <w:r>
        <w:rPr>
          <w:color w:val="auto"/>
        </w:rPr>
        <w:t>3.</w:t>
      </w:r>
      <w:r>
        <w:rPr>
          <w:rFonts w:hint="eastAsia"/>
          <w:color w:val="auto"/>
        </w:rPr>
        <w:t>25界阜蚌公司</w:t>
      </w:r>
      <w:r>
        <w:rPr>
          <w:color w:val="auto"/>
        </w:rPr>
        <w:t>——</w:t>
      </w:r>
      <w:r>
        <w:rPr>
          <w:rFonts w:hint="eastAsia"/>
          <w:color w:val="auto"/>
        </w:rPr>
        <w:t>怀远西收费站</w:t>
      </w:r>
    </w:p>
    <w:p>
      <w:pPr>
        <w:pStyle w:val="295"/>
        <w:rPr>
          <w:color w:val="auto"/>
        </w:rPr>
      </w:pPr>
      <w:r>
        <w:rPr>
          <w:color w:val="auto"/>
        </w:rPr>
        <w:t>3.</w:t>
      </w:r>
      <w:r>
        <w:rPr>
          <w:rFonts w:hint="eastAsia"/>
          <w:color w:val="auto"/>
        </w:rPr>
        <w:t>26六安北管理处</w:t>
      </w:r>
      <w:r>
        <w:rPr>
          <w:color w:val="auto"/>
        </w:rPr>
        <w:t>——</w:t>
      </w:r>
      <w:r>
        <w:rPr>
          <w:rFonts w:hint="eastAsia"/>
          <w:color w:val="auto"/>
        </w:rPr>
        <w:t>三觉收费站</w:t>
      </w:r>
    </w:p>
    <w:p>
      <w:pPr>
        <w:pStyle w:val="295"/>
        <w:rPr>
          <w:color w:val="auto"/>
        </w:rPr>
      </w:pPr>
      <w:r>
        <w:rPr>
          <w:color w:val="auto"/>
        </w:rPr>
        <w:t>3.</w:t>
      </w:r>
      <w:r>
        <w:rPr>
          <w:rFonts w:hint="eastAsia"/>
          <w:color w:val="auto"/>
        </w:rPr>
        <w:t>27六安北管理处</w:t>
      </w:r>
      <w:r>
        <w:rPr>
          <w:color w:val="auto"/>
        </w:rPr>
        <w:t>——</w:t>
      </w:r>
      <w:r>
        <w:rPr>
          <w:rFonts w:hint="eastAsia"/>
          <w:color w:val="auto"/>
        </w:rPr>
        <w:t>叶集收费站</w:t>
      </w:r>
    </w:p>
    <w:p>
      <w:pPr>
        <w:pStyle w:val="295"/>
        <w:rPr>
          <w:color w:val="auto"/>
        </w:rPr>
      </w:pPr>
      <w:r>
        <w:rPr>
          <w:color w:val="auto"/>
        </w:rPr>
        <w:t>3.</w:t>
      </w:r>
      <w:r>
        <w:rPr>
          <w:rFonts w:hint="eastAsia"/>
          <w:color w:val="auto"/>
        </w:rPr>
        <w:t>28六安北管理处</w:t>
      </w:r>
      <w:r>
        <w:rPr>
          <w:color w:val="auto"/>
        </w:rPr>
        <w:t>——</w:t>
      </w:r>
      <w:r>
        <w:rPr>
          <w:rFonts w:hint="eastAsia"/>
          <w:color w:val="auto"/>
        </w:rPr>
        <w:t>丁埠收费站</w:t>
      </w:r>
    </w:p>
    <w:p>
      <w:pPr>
        <w:pStyle w:val="295"/>
        <w:rPr>
          <w:color w:val="auto"/>
        </w:rPr>
      </w:pPr>
      <w:r>
        <w:rPr>
          <w:color w:val="auto"/>
        </w:rPr>
        <w:t>3.</w:t>
      </w:r>
      <w:r>
        <w:rPr>
          <w:rFonts w:hint="eastAsia"/>
          <w:color w:val="auto"/>
        </w:rPr>
        <w:t>29六安北管理处</w:t>
      </w:r>
      <w:r>
        <w:rPr>
          <w:color w:val="auto"/>
        </w:rPr>
        <w:t>——</w:t>
      </w:r>
      <w:r>
        <w:rPr>
          <w:rFonts w:hint="eastAsia"/>
          <w:color w:val="auto"/>
        </w:rPr>
        <w:t>古碑收费站</w:t>
      </w:r>
    </w:p>
    <w:p>
      <w:pPr>
        <w:pStyle w:val="295"/>
        <w:rPr>
          <w:color w:val="auto"/>
        </w:rPr>
      </w:pPr>
      <w:r>
        <w:rPr>
          <w:color w:val="auto"/>
        </w:rPr>
        <w:t>3.</w:t>
      </w:r>
      <w:r>
        <w:rPr>
          <w:rFonts w:hint="eastAsia"/>
          <w:color w:val="auto"/>
        </w:rPr>
        <w:t>30庐江公司</w:t>
      </w:r>
      <w:r>
        <w:rPr>
          <w:color w:val="auto"/>
        </w:rPr>
        <w:t>——</w:t>
      </w:r>
      <w:r>
        <w:rPr>
          <w:rFonts w:hint="eastAsia"/>
          <w:color w:val="auto"/>
        </w:rPr>
        <w:t>庐江管理公司</w:t>
      </w:r>
    </w:p>
    <w:p>
      <w:pPr>
        <w:pStyle w:val="295"/>
        <w:rPr>
          <w:color w:val="auto"/>
        </w:rPr>
      </w:pPr>
      <w:r>
        <w:rPr>
          <w:color w:val="auto"/>
        </w:rPr>
        <w:t>3.</w:t>
      </w:r>
      <w:r>
        <w:rPr>
          <w:rFonts w:hint="eastAsia"/>
          <w:color w:val="auto"/>
        </w:rPr>
        <w:t>31庐江公司</w:t>
      </w:r>
      <w:r>
        <w:rPr>
          <w:color w:val="auto"/>
        </w:rPr>
        <w:t>——</w:t>
      </w:r>
      <w:r>
        <w:rPr>
          <w:rFonts w:hint="eastAsia"/>
          <w:color w:val="auto"/>
        </w:rPr>
        <w:t>浮山收费站</w:t>
      </w:r>
    </w:p>
    <w:p>
      <w:pPr>
        <w:pStyle w:val="295"/>
        <w:rPr>
          <w:color w:val="auto"/>
        </w:rPr>
      </w:pPr>
      <w:r>
        <w:rPr>
          <w:color w:val="auto"/>
        </w:rPr>
        <w:t>3.</w:t>
      </w:r>
      <w:r>
        <w:rPr>
          <w:rFonts w:hint="eastAsia"/>
          <w:color w:val="auto"/>
        </w:rPr>
        <w:t>32庐江公司</w:t>
      </w:r>
      <w:r>
        <w:rPr>
          <w:color w:val="auto"/>
        </w:rPr>
        <w:t>——</w:t>
      </w:r>
      <w:r>
        <w:rPr>
          <w:rFonts w:hint="eastAsia"/>
          <w:color w:val="auto"/>
        </w:rPr>
        <w:t>花园收费站</w:t>
      </w:r>
    </w:p>
    <w:p>
      <w:pPr>
        <w:pStyle w:val="295"/>
        <w:rPr>
          <w:color w:val="auto"/>
        </w:rPr>
      </w:pPr>
      <w:r>
        <w:rPr>
          <w:color w:val="auto"/>
        </w:rPr>
        <w:t>3.</w:t>
      </w:r>
      <w:r>
        <w:rPr>
          <w:rFonts w:hint="eastAsia"/>
          <w:color w:val="auto"/>
        </w:rPr>
        <w:t>33宁国管理处</w:t>
      </w:r>
      <w:r>
        <w:rPr>
          <w:color w:val="auto"/>
        </w:rPr>
        <w:t>——</w:t>
      </w:r>
      <w:r>
        <w:rPr>
          <w:rFonts w:hint="eastAsia"/>
          <w:color w:val="auto"/>
        </w:rPr>
        <w:t>胡乐收费站</w:t>
      </w:r>
    </w:p>
    <w:p>
      <w:pPr>
        <w:pStyle w:val="295"/>
        <w:rPr>
          <w:color w:val="auto"/>
        </w:rPr>
      </w:pPr>
      <w:r>
        <w:rPr>
          <w:color w:val="auto"/>
        </w:rPr>
        <w:t>3.</w:t>
      </w:r>
      <w:r>
        <w:rPr>
          <w:rFonts w:hint="eastAsia"/>
          <w:color w:val="auto"/>
        </w:rPr>
        <w:t>34宿州中心</w:t>
      </w:r>
      <w:r>
        <w:rPr>
          <w:color w:val="auto"/>
        </w:rPr>
        <w:t>——</w:t>
      </w:r>
      <w:r>
        <w:rPr>
          <w:rFonts w:hint="eastAsia"/>
          <w:color w:val="auto"/>
        </w:rPr>
        <w:t>宿州南收费站及养护工区</w:t>
      </w:r>
    </w:p>
    <w:p>
      <w:pPr>
        <w:pStyle w:val="295"/>
        <w:rPr>
          <w:color w:val="auto"/>
        </w:rPr>
      </w:pPr>
      <w:r>
        <w:rPr>
          <w:color w:val="auto"/>
        </w:rPr>
        <w:t>3.</w:t>
      </w:r>
      <w:r>
        <w:rPr>
          <w:rFonts w:hint="eastAsia"/>
          <w:color w:val="auto"/>
        </w:rPr>
        <w:t>35宿州中心</w:t>
      </w:r>
      <w:r>
        <w:rPr>
          <w:color w:val="auto"/>
        </w:rPr>
        <w:t>——</w:t>
      </w:r>
      <w:r>
        <w:rPr>
          <w:rFonts w:hint="eastAsia"/>
          <w:color w:val="auto"/>
        </w:rPr>
        <w:t>亳州养护工区</w:t>
      </w:r>
    </w:p>
    <w:p>
      <w:pPr>
        <w:pStyle w:val="295"/>
        <w:rPr>
          <w:color w:val="auto"/>
        </w:rPr>
      </w:pPr>
      <w:r>
        <w:rPr>
          <w:color w:val="auto"/>
        </w:rPr>
        <w:t>3.</w:t>
      </w:r>
      <w:r>
        <w:rPr>
          <w:rFonts w:hint="eastAsia"/>
          <w:color w:val="auto"/>
        </w:rPr>
        <w:t>36天长管理处</w:t>
      </w:r>
      <w:r>
        <w:rPr>
          <w:color w:val="auto"/>
        </w:rPr>
        <w:t>——</w:t>
      </w:r>
      <w:r>
        <w:rPr>
          <w:rFonts w:hint="eastAsia"/>
          <w:color w:val="auto"/>
        </w:rPr>
        <w:t>天长管理处园区</w:t>
      </w:r>
    </w:p>
    <w:p>
      <w:pPr>
        <w:pStyle w:val="295"/>
        <w:rPr>
          <w:color w:val="auto"/>
        </w:rPr>
      </w:pPr>
      <w:r>
        <w:rPr>
          <w:color w:val="auto"/>
        </w:rPr>
        <w:t>3.</w:t>
      </w:r>
      <w:r>
        <w:rPr>
          <w:rFonts w:hint="eastAsia"/>
          <w:color w:val="auto"/>
        </w:rPr>
        <w:t>37芜湖中心</w:t>
      </w:r>
      <w:r>
        <w:rPr>
          <w:color w:val="auto"/>
        </w:rPr>
        <w:t>——</w:t>
      </w:r>
      <w:r>
        <w:rPr>
          <w:rFonts w:hint="eastAsia"/>
          <w:color w:val="auto"/>
        </w:rPr>
        <w:t>峨桥收费站</w:t>
      </w:r>
    </w:p>
    <w:p>
      <w:pPr>
        <w:pStyle w:val="295"/>
        <w:rPr>
          <w:color w:val="auto"/>
        </w:rPr>
      </w:pPr>
      <w:r>
        <w:rPr>
          <w:color w:val="auto"/>
        </w:rPr>
        <w:t>3.</w:t>
      </w:r>
      <w:r>
        <w:rPr>
          <w:rFonts w:hint="eastAsia"/>
          <w:color w:val="auto"/>
        </w:rPr>
        <w:t>38芜湖中心</w:t>
      </w:r>
      <w:r>
        <w:rPr>
          <w:color w:val="auto"/>
        </w:rPr>
        <w:t>——</w:t>
      </w:r>
      <w:r>
        <w:rPr>
          <w:rFonts w:hint="eastAsia"/>
          <w:color w:val="auto"/>
        </w:rPr>
        <w:t>南陵东收费站</w:t>
      </w:r>
    </w:p>
    <w:p>
      <w:pPr>
        <w:pStyle w:val="295"/>
        <w:rPr>
          <w:color w:val="auto"/>
        </w:rPr>
      </w:pPr>
      <w:r>
        <w:rPr>
          <w:color w:val="auto"/>
        </w:rPr>
        <w:t>3.</w:t>
      </w:r>
      <w:r>
        <w:rPr>
          <w:rFonts w:hint="eastAsia"/>
          <w:color w:val="auto"/>
        </w:rPr>
        <w:t>39芜湖中心</w:t>
      </w:r>
      <w:r>
        <w:rPr>
          <w:color w:val="auto"/>
        </w:rPr>
        <w:t>——</w:t>
      </w:r>
      <w:r>
        <w:rPr>
          <w:rFonts w:hint="eastAsia"/>
          <w:color w:val="auto"/>
        </w:rPr>
        <w:t>珩琅山收费站</w:t>
      </w:r>
    </w:p>
    <w:p>
      <w:pPr>
        <w:pStyle w:val="295"/>
        <w:rPr>
          <w:color w:val="auto"/>
        </w:rPr>
      </w:pPr>
      <w:r>
        <w:rPr>
          <w:color w:val="auto"/>
        </w:rPr>
        <w:t>3.</w:t>
      </w:r>
      <w:r>
        <w:rPr>
          <w:rFonts w:hint="eastAsia"/>
          <w:color w:val="auto"/>
        </w:rPr>
        <w:t>40芜湖中心</w:t>
      </w:r>
      <w:r>
        <w:rPr>
          <w:color w:val="auto"/>
        </w:rPr>
        <w:t>——</w:t>
      </w:r>
      <w:r>
        <w:rPr>
          <w:rFonts w:hint="eastAsia"/>
          <w:color w:val="auto"/>
        </w:rPr>
        <w:t>水阳收费站</w:t>
      </w:r>
    </w:p>
    <w:p>
      <w:pPr>
        <w:pStyle w:val="295"/>
        <w:rPr>
          <w:color w:val="auto"/>
        </w:rPr>
      </w:pPr>
      <w:r>
        <w:rPr>
          <w:color w:val="auto"/>
        </w:rPr>
        <w:t>3.</w:t>
      </w:r>
      <w:r>
        <w:rPr>
          <w:rFonts w:hint="eastAsia"/>
          <w:color w:val="auto"/>
        </w:rPr>
        <w:t>41芜湖中心</w:t>
      </w:r>
      <w:r>
        <w:rPr>
          <w:color w:val="auto"/>
        </w:rPr>
        <w:t>——</w:t>
      </w:r>
      <w:r>
        <w:rPr>
          <w:rFonts w:hint="eastAsia"/>
          <w:color w:val="auto"/>
        </w:rPr>
        <w:t>芜湖南收费站</w:t>
      </w:r>
    </w:p>
    <w:p>
      <w:pPr>
        <w:pStyle w:val="295"/>
        <w:rPr>
          <w:color w:val="auto"/>
        </w:rPr>
      </w:pPr>
      <w:r>
        <w:rPr>
          <w:color w:val="auto"/>
        </w:rPr>
        <w:t>3.</w:t>
      </w:r>
      <w:r>
        <w:rPr>
          <w:rFonts w:hint="eastAsia"/>
          <w:color w:val="auto"/>
        </w:rPr>
        <w:t>42徐明公司</w:t>
      </w:r>
      <w:r>
        <w:rPr>
          <w:color w:val="auto"/>
        </w:rPr>
        <w:t>——</w:t>
      </w:r>
      <w:r>
        <w:rPr>
          <w:rFonts w:hint="eastAsia"/>
          <w:color w:val="auto"/>
        </w:rPr>
        <w:t>渔沟收费站</w:t>
      </w:r>
    </w:p>
    <w:p>
      <w:pPr>
        <w:pStyle w:val="295"/>
        <w:rPr>
          <w:color w:val="auto"/>
        </w:rPr>
      </w:pPr>
      <w:r>
        <w:rPr>
          <w:color w:val="auto"/>
        </w:rPr>
        <w:t>3.</w:t>
      </w:r>
      <w:r>
        <w:rPr>
          <w:rFonts w:hint="eastAsia"/>
          <w:color w:val="auto"/>
        </w:rPr>
        <w:t>43养管中心</w:t>
      </w:r>
      <w:r>
        <w:rPr>
          <w:color w:val="auto"/>
        </w:rPr>
        <w:t>——</w:t>
      </w:r>
      <w:r>
        <w:rPr>
          <w:rFonts w:hint="eastAsia"/>
          <w:color w:val="auto"/>
        </w:rPr>
        <w:t>九梓办公区</w:t>
      </w:r>
    </w:p>
    <w:p>
      <w:pPr>
        <w:pStyle w:val="295"/>
        <w:rPr>
          <w:color w:val="auto"/>
        </w:rPr>
      </w:pPr>
      <w:r>
        <w:rPr>
          <w:color w:val="auto"/>
        </w:rPr>
        <w:t>3.</w:t>
      </w:r>
      <w:r>
        <w:rPr>
          <w:rFonts w:hint="eastAsia"/>
          <w:color w:val="auto"/>
        </w:rPr>
        <w:t>44养管中心</w:t>
      </w:r>
      <w:r>
        <w:rPr>
          <w:color w:val="auto"/>
        </w:rPr>
        <w:t>——</w:t>
      </w:r>
      <w:r>
        <w:rPr>
          <w:rFonts w:hint="eastAsia"/>
          <w:color w:val="auto"/>
        </w:rPr>
        <w:t>六安分中心园区</w:t>
      </w:r>
    </w:p>
    <w:p>
      <w:pPr>
        <w:pStyle w:val="295"/>
        <w:rPr>
          <w:color w:val="auto"/>
        </w:rPr>
      </w:pPr>
      <w:r>
        <w:rPr>
          <w:color w:val="auto"/>
        </w:rPr>
        <w:t>3.</w:t>
      </w:r>
      <w:r>
        <w:rPr>
          <w:rFonts w:hint="eastAsia"/>
          <w:color w:val="auto"/>
        </w:rPr>
        <w:t>45养管中心</w:t>
      </w:r>
      <w:r>
        <w:rPr>
          <w:color w:val="auto"/>
        </w:rPr>
        <w:t>——</w:t>
      </w:r>
      <w:r>
        <w:rPr>
          <w:rFonts w:hint="eastAsia"/>
          <w:color w:val="auto"/>
        </w:rPr>
        <w:t>阜阳南工区</w:t>
      </w:r>
    </w:p>
    <w:p>
      <w:pPr>
        <w:pStyle w:val="295"/>
        <w:rPr>
          <w:color w:val="auto"/>
        </w:rPr>
      </w:pPr>
      <w:r>
        <w:rPr>
          <w:color w:val="auto"/>
        </w:rPr>
        <w:t>3.</w:t>
      </w:r>
      <w:r>
        <w:rPr>
          <w:rFonts w:hint="eastAsia"/>
          <w:color w:val="auto"/>
        </w:rPr>
        <w:t>46养管中心</w:t>
      </w:r>
      <w:r>
        <w:rPr>
          <w:color w:val="auto"/>
        </w:rPr>
        <w:t>——</w:t>
      </w:r>
      <w:r>
        <w:rPr>
          <w:rFonts w:hint="eastAsia"/>
          <w:color w:val="auto"/>
        </w:rPr>
        <w:t>黄山养护分中心</w:t>
      </w:r>
    </w:p>
    <w:p>
      <w:pPr>
        <w:pStyle w:val="295"/>
        <w:rPr>
          <w:color w:val="auto"/>
        </w:rPr>
      </w:pPr>
      <w:r>
        <w:rPr>
          <w:color w:val="auto"/>
        </w:rPr>
        <w:t>3.</w:t>
      </w:r>
      <w:r>
        <w:rPr>
          <w:rFonts w:hint="eastAsia"/>
          <w:color w:val="auto"/>
        </w:rPr>
        <w:t>47养管中心</w:t>
      </w:r>
      <w:r>
        <w:rPr>
          <w:color w:val="auto"/>
        </w:rPr>
        <w:t>——</w:t>
      </w:r>
      <w:r>
        <w:rPr>
          <w:rFonts w:hint="eastAsia"/>
          <w:color w:val="auto"/>
        </w:rPr>
        <w:t>安庆分中心园区养护工区</w:t>
      </w:r>
    </w:p>
    <w:bookmarkEnd w:id="5"/>
    <w:p>
      <w:pPr>
        <w:pStyle w:val="294"/>
        <w:rPr>
          <w:rFonts w:cs="Times New Roman"/>
          <w:color w:val="auto"/>
        </w:rPr>
      </w:pPr>
      <w:r>
        <w:rPr>
          <w:rFonts w:cs="Times New Roman"/>
          <w:color w:val="auto"/>
        </w:rPr>
        <w:t>4 管道工程施工</w:t>
      </w:r>
    </w:p>
    <w:p>
      <w:pPr>
        <w:pStyle w:val="295"/>
        <w:rPr>
          <w:color w:val="auto"/>
        </w:rPr>
      </w:pPr>
      <w:r>
        <w:rPr>
          <w:color w:val="auto"/>
        </w:rPr>
        <w:t>4.1 管材及其防腐、保护</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（1）压力流污水管</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①</w:t>
      </w:r>
      <w:r>
        <w:rPr>
          <w:rFonts w:eastAsia="仿宋_GB2312"/>
          <w:color w:val="auto"/>
          <w:sz w:val="24"/>
        </w:rPr>
        <w:t>埋地管道均采用PE管（等级选用PE100等级），管材应符合《给水用聚乙烯管材规范》，管道工作压力为0.6MPa，实验压力为1.1MPa.，且管材强度应满足设计外压要求；</w:t>
      </w:r>
    </w:p>
    <w:p>
      <w:pPr>
        <w:tabs>
          <w:tab w:val="left" w:pos="525"/>
        </w:tabs>
        <w:adjustRightInd w:val="0"/>
        <w:snapToGrid w:val="0"/>
        <w:spacing w:line="360" w:lineRule="auto"/>
        <w:ind w:left="55" w:leftChars="26" w:firstLine="460" w:firstLineChars="192"/>
        <w:rPr>
          <w:rFonts w:eastAsia="仿宋_GB2312"/>
          <w:color w:val="auto"/>
          <w:sz w:val="24"/>
        </w:rPr>
      </w:pPr>
      <w:r>
        <w:rPr>
          <w:rFonts w:hint="eastAsia" w:ascii="宋体" w:hAnsi="宋体" w:cs="宋体"/>
          <w:color w:val="auto"/>
          <w:sz w:val="24"/>
        </w:rPr>
        <w:t>②</w:t>
      </w:r>
      <w:r>
        <w:rPr>
          <w:rFonts w:eastAsia="仿宋_GB2312"/>
          <w:color w:val="auto"/>
          <w:sz w:val="24"/>
        </w:rPr>
        <w:t>通道压力污水管采用C25混凝土满包，位于通道底部靠边敷设，满包做法见管道混凝土满包大样图。</w:t>
      </w:r>
    </w:p>
    <w:p>
      <w:pPr>
        <w:adjustRightInd w:val="0"/>
        <w:snapToGrid w:val="0"/>
        <w:spacing w:line="360" w:lineRule="auto"/>
        <w:ind w:firstLine="480" w:firstLineChars="200"/>
        <w:rPr>
          <w:rFonts w:eastAsia="仿宋_GB2312"/>
          <w:color w:val="auto"/>
          <w:sz w:val="24"/>
        </w:rPr>
      </w:pPr>
      <w:r>
        <w:rPr>
          <w:rFonts w:hint="eastAsia" w:ascii="宋体" w:hAnsi="宋体" w:cs="宋体"/>
          <w:color w:val="auto"/>
          <w:sz w:val="24"/>
        </w:rPr>
        <w:t>③</w:t>
      </w:r>
      <w:r>
        <w:rPr>
          <w:rFonts w:eastAsia="仿宋_GB2312"/>
          <w:color w:val="auto"/>
          <w:sz w:val="24"/>
        </w:rPr>
        <w:t>其他明敷施工段，管道支架做法参照图集03S402，页69，须增加保温措施，保温、保护材料等应采用不燃或难燃材料，保温材料应具有防潮、防腐、防蛀、耐老化和无毒的性能，采用</w:t>
      </w:r>
      <w:r>
        <w:rPr>
          <w:rFonts w:eastAsia="仿宋_GB2312"/>
          <w:bCs/>
          <w:color w:val="auto"/>
          <w:sz w:val="24"/>
        </w:rPr>
        <w:t>聚氨酯泡沫塑料</w:t>
      </w:r>
      <w:r>
        <w:rPr>
          <w:rFonts w:eastAsia="仿宋_GB2312"/>
          <w:color w:val="auto"/>
          <w:sz w:val="24"/>
        </w:rPr>
        <w:t>保温，保温厚度≥50mm，具体做法参见03S401。</w:t>
      </w:r>
    </w:p>
    <w:p>
      <w:pPr>
        <w:adjustRightInd w:val="0"/>
        <w:snapToGrid w:val="0"/>
        <w:spacing w:line="360" w:lineRule="auto"/>
        <w:ind w:firstLine="480" w:firstLineChars="200"/>
        <w:rPr>
          <w:rFonts w:eastAsia="仿宋_GB2312"/>
          <w:color w:val="auto"/>
          <w:sz w:val="24"/>
        </w:rPr>
      </w:pPr>
      <w:r>
        <w:rPr>
          <w:rFonts w:hint="eastAsia" w:ascii="宋体" w:hAnsi="宋体" w:cs="宋体"/>
          <w:color w:val="auto"/>
          <w:sz w:val="24"/>
        </w:rPr>
        <w:t>④</w:t>
      </w:r>
      <w:r>
        <w:rPr>
          <w:rFonts w:eastAsia="仿宋_GB2312"/>
          <w:color w:val="auto"/>
          <w:sz w:val="24"/>
        </w:rPr>
        <w:t>PE管道与管件之间采用电熔连接和热熔连接，钢管管道及管件之间采用焊接连接。不同管材的管件之间采用法兰连接，其中PE管和金属管材的连接采用活套法兰连接转换。与PE管连接的机械接头应能抵抗IS010838-1/2/3中规定的端部荷载。</w:t>
      </w:r>
    </w:p>
    <w:p>
      <w:pPr>
        <w:adjustRightInd w:val="0"/>
        <w:snapToGrid w:val="0"/>
        <w:spacing w:line="360" w:lineRule="auto"/>
        <w:ind w:firstLine="480" w:firstLineChars="200"/>
        <w:rPr>
          <w:rFonts w:eastAsia="仿宋_GB2312"/>
          <w:color w:val="auto"/>
          <w:sz w:val="24"/>
        </w:rPr>
      </w:pPr>
      <w:r>
        <w:rPr>
          <w:rFonts w:hint="eastAsia" w:ascii="宋体" w:hAnsi="宋体" w:cs="宋体"/>
          <w:color w:val="auto"/>
          <w:sz w:val="24"/>
        </w:rPr>
        <w:t>⑤</w:t>
      </w:r>
      <w:r>
        <w:rPr>
          <w:rFonts w:eastAsia="仿宋_GB2312"/>
          <w:color w:val="auto"/>
          <w:sz w:val="24"/>
        </w:rPr>
        <w:t>水泵连接管采用压力管采用直缝卷焊钢管，PN≥1.0MPa，钢管的焊接要求按照国标《工业金属压力管采用钢管管道工程施工及验收规范》（GB50235-97）执行，管道基础下应做15cm砂石。</w:t>
      </w:r>
    </w:p>
    <w:p>
      <w:pPr>
        <w:adjustRightInd w:val="0"/>
        <w:snapToGrid w:val="0"/>
        <w:spacing w:line="360" w:lineRule="auto"/>
        <w:ind w:firstLine="480" w:firstLineChars="200"/>
        <w:rPr>
          <w:rFonts w:eastAsia="仿宋_GB2312"/>
          <w:color w:val="auto"/>
          <w:sz w:val="24"/>
          <w:szCs w:val="24"/>
        </w:rPr>
      </w:pPr>
      <w:r>
        <w:rPr>
          <w:rFonts w:hint="eastAsia" w:ascii="宋体" w:hAnsi="宋体" w:cs="宋体"/>
          <w:color w:val="auto"/>
          <w:sz w:val="24"/>
        </w:rPr>
        <w:t>⑥</w:t>
      </w:r>
      <w:r>
        <w:rPr>
          <w:rFonts w:eastAsia="仿宋_GB2312"/>
          <w:color w:val="auto"/>
          <w:sz w:val="24"/>
        </w:rPr>
        <w:t>拖管施工工艺管材采用PE100及以上等级的高密度聚乙烯平壁管，管材强度及环刚度应符合现行国家标准及施工使用段埋深荷载要求。一般物理性能要求为：质量密度0.94-0.96g/cm3，弹性模量≥800MPa，抗拉强度标准值≥20.7MPa，抗拉强度设计值≥16MPa，环向弯曲刚度不小于12.5 kN/m2，管材允许的拖拉应力不大于12MPa；管材外观光滑平整，长度方向不应有明显变形；热熔焊接质量可靠，焊接力学性能不低于母材，焊接后形成的凸缘熔瘤翻边均匀一致，管外壁焊接凸缘熔瘤对拖管牵引力的影响可忽略不计；管道允许的弯曲半径应≥40D（</w:t>
      </w:r>
      <w:r>
        <w:rPr>
          <w:rFonts w:eastAsia="仿宋_GB2312"/>
          <w:color w:val="auto"/>
          <w:sz w:val="24"/>
          <w:szCs w:val="24"/>
        </w:rPr>
        <w:t>D为管道的外径）。</w:t>
      </w:r>
      <w:r>
        <w:rPr>
          <w:rFonts w:eastAsia="仿宋_GB2312"/>
          <w:b/>
          <w:color w:val="auto"/>
          <w:sz w:val="24"/>
          <w:szCs w:val="24"/>
        </w:rPr>
        <w:t>图纸及数量中的管道直径指管道公称直径，非公称外径。</w:t>
      </w:r>
    </w:p>
    <w:p>
      <w:pPr>
        <w:adjustRightInd w:val="0"/>
        <w:snapToGrid w:val="0"/>
        <w:spacing w:line="360" w:lineRule="auto"/>
        <w:ind w:firstLine="480" w:firstLineChars="200"/>
        <w:rPr>
          <w:rFonts w:eastAsia="仿宋_GB2312"/>
          <w:color w:val="auto"/>
          <w:sz w:val="24"/>
        </w:rPr>
      </w:pPr>
      <w:r>
        <w:rPr>
          <w:rFonts w:eastAsia="仿宋_GB2312"/>
          <w:color w:val="auto"/>
          <w:sz w:val="24"/>
        </w:rPr>
        <w:t>（2）重力流雨污水管</w:t>
      </w:r>
    </w:p>
    <w:p>
      <w:pPr>
        <w:snapToGrid w:val="0"/>
        <w:spacing w:line="360" w:lineRule="auto"/>
        <w:ind w:firstLine="480"/>
        <w:rPr>
          <w:rFonts w:eastAsia="仿宋_GB2312"/>
          <w:color w:val="auto"/>
          <w:sz w:val="24"/>
        </w:rPr>
      </w:pPr>
      <w:r>
        <w:rPr>
          <w:rFonts w:eastAsia="仿宋_GB2312"/>
          <w:color w:val="auto"/>
          <w:sz w:val="24"/>
        </w:rPr>
        <w:t>重力流雨、污水管道采用承插式钢筋混凝土排水管（Ⅱ级）；基础参见06MS201-1-9，接口参见06MS201-1-23，检查井施工参见06MS201-3。</w:t>
      </w:r>
    </w:p>
    <w:p>
      <w:pPr>
        <w:spacing w:line="360" w:lineRule="auto"/>
        <w:ind w:firstLine="480" w:firstLineChars="200"/>
        <w:rPr>
          <w:rFonts w:eastAsia="仿宋_GB2312"/>
          <w:color w:val="auto"/>
          <w:sz w:val="24"/>
          <w:szCs w:val="24"/>
        </w:rPr>
      </w:pPr>
      <w:r>
        <w:rPr>
          <w:rFonts w:eastAsia="仿宋_GB2312"/>
          <w:color w:val="auto"/>
          <w:sz w:val="24"/>
          <w:szCs w:val="24"/>
        </w:rPr>
        <w:t>雨水口连接管采用Ⅱ级平口式钢筋混凝土管，连接管采用C25混凝土包管。包封大样图参见混凝土满包处理大样图。</w:t>
      </w:r>
    </w:p>
    <w:p>
      <w:pPr>
        <w:adjustRightInd w:val="0"/>
        <w:snapToGrid w:val="0"/>
        <w:spacing w:line="360" w:lineRule="auto"/>
        <w:ind w:firstLine="480" w:firstLineChars="200"/>
        <w:rPr>
          <w:rFonts w:eastAsia="仿宋_GB2312"/>
          <w:color w:val="auto"/>
          <w:sz w:val="24"/>
        </w:rPr>
      </w:pPr>
      <w:r>
        <w:rPr>
          <w:rFonts w:eastAsia="仿宋_GB2312"/>
          <w:color w:val="auto"/>
          <w:sz w:val="24"/>
        </w:rPr>
        <w:t>（3）管道防腐</w:t>
      </w:r>
    </w:p>
    <w:p>
      <w:pPr>
        <w:adjustRightInd w:val="0"/>
        <w:snapToGrid w:val="0"/>
        <w:spacing w:line="360" w:lineRule="auto"/>
        <w:ind w:firstLine="480" w:firstLineChars="200"/>
        <w:rPr>
          <w:rFonts w:eastAsia="仿宋_GB2312"/>
          <w:color w:val="auto"/>
          <w:sz w:val="24"/>
        </w:rPr>
      </w:pPr>
      <w:r>
        <w:rPr>
          <w:rFonts w:eastAsia="仿宋_GB2312"/>
          <w:color w:val="auto"/>
          <w:sz w:val="24"/>
        </w:rPr>
        <w:t>埋地钢制管道外壁，采用后浆型环氧煤沥青-玻璃布包覆涂层防腐。涂层结构为一底二布四面，即一道底漆，两层中碱粗格平纹玻璃三道。要求涂层干膜总厚度≥200μm。</w:t>
      </w:r>
    </w:p>
    <w:p>
      <w:pPr>
        <w:adjustRightInd w:val="0"/>
        <w:snapToGrid w:val="0"/>
        <w:spacing w:line="360" w:lineRule="auto"/>
        <w:ind w:firstLine="480" w:firstLineChars="200"/>
        <w:rPr>
          <w:rFonts w:eastAsia="仿宋_GB2312"/>
          <w:color w:val="auto"/>
          <w:sz w:val="24"/>
        </w:rPr>
      </w:pPr>
      <w:r>
        <w:rPr>
          <w:rFonts w:eastAsia="仿宋_GB2312"/>
          <w:color w:val="auto"/>
          <w:sz w:val="24"/>
        </w:rPr>
        <w:t>防污水腐蚀的管道及支架、盲板等的表面，采用厚浆型环氧煤沥青涂料防腐，涂层结构为二底二面，要求干膜厚度≥260μm。</w:t>
      </w:r>
    </w:p>
    <w:p>
      <w:pPr>
        <w:adjustRightInd w:val="0"/>
        <w:snapToGrid w:val="0"/>
        <w:spacing w:line="360" w:lineRule="auto"/>
        <w:ind w:firstLine="480" w:firstLineChars="200"/>
        <w:rPr>
          <w:rFonts w:eastAsia="仿宋_GB2312"/>
          <w:color w:val="auto"/>
          <w:sz w:val="24"/>
        </w:rPr>
      </w:pPr>
      <w:r>
        <w:rPr>
          <w:rFonts w:eastAsia="仿宋_GB2312"/>
          <w:color w:val="auto"/>
          <w:sz w:val="24"/>
        </w:rPr>
        <w:t>防腐施工除执行HG229-1991、GB/T8923-1991等规范外，还应遵照生产厂家产品说明进行。</w:t>
      </w:r>
    </w:p>
    <w:p>
      <w:pPr>
        <w:adjustRightInd w:val="0"/>
        <w:snapToGrid w:val="0"/>
        <w:spacing w:line="360" w:lineRule="auto"/>
        <w:ind w:firstLine="480" w:firstLineChars="200"/>
        <w:rPr>
          <w:rFonts w:eastAsia="仿宋_GB2312"/>
          <w:color w:val="auto"/>
          <w:sz w:val="24"/>
        </w:rPr>
      </w:pPr>
      <w:r>
        <w:rPr>
          <w:rFonts w:eastAsia="仿宋_GB2312"/>
          <w:color w:val="auto"/>
          <w:sz w:val="24"/>
        </w:rPr>
        <w:t>防腐涂层实施之前进行表面喷砂处理，表面处理程度应达GB/T8923-1991中Sa2 1/2级。</w:t>
      </w:r>
    </w:p>
    <w:p>
      <w:pPr>
        <w:adjustRightInd w:val="0"/>
        <w:snapToGrid w:val="0"/>
        <w:spacing w:line="360" w:lineRule="auto"/>
        <w:ind w:firstLine="480" w:firstLineChars="200"/>
        <w:rPr>
          <w:rFonts w:eastAsia="仿宋_GB2312"/>
          <w:color w:val="auto"/>
          <w:sz w:val="24"/>
        </w:rPr>
      </w:pPr>
      <w:r>
        <w:rPr>
          <w:rFonts w:eastAsia="仿宋_GB2312"/>
          <w:color w:val="auto"/>
          <w:sz w:val="24"/>
        </w:rPr>
        <w:t>每道工序完成后，都要进行质量检查，不合格必须重新处理。施工完毕按HGJ229-1991规范中相应章节验收.</w:t>
      </w:r>
    </w:p>
    <w:p>
      <w:pPr>
        <w:adjustRightInd w:val="0"/>
        <w:snapToGrid w:val="0"/>
        <w:spacing w:line="360" w:lineRule="auto"/>
        <w:ind w:firstLine="480" w:firstLineChars="200"/>
        <w:rPr>
          <w:rFonts w:eastAsia="仿宋_GB2312"/>
          <w:color w:val="auto"/>
          <w:sz w:val="24"/>
        </w:rPr>
      </w:pPr>
      <w:r>
        <w:rPr>
          <w:rFonts w:eastAsia="仿宋_GB2312"/>
          <w:color w:val="auto"/>
          <w:sz w:val="24"/>
        </w:rPr>
        <w:t>要求生产厂家在出厂前，按国家规定做好管道内、外防腐，内防腐材料不得使用对管道造成腐蚀或污染的材料。施工中如碰伤管件，防腐层应予以修复。</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（4）管道保护</w:t>
      </w:r>
    </w:p>
    <w:p>
      <w:pPr>
        <w:spacing w:line="360" w:lineRule="auto"/>
        <w:ind w:firstLine="480" w:firstLineChars="200"/>
        <w:rPr>
          <w:rFonts w:eastAsia="仿宋_GB2312"/>
          <w:color w:val="auto"/>
          <w:sz w:val="24"/>
          <w:szCs w:val="24"/>
        </w:rPr>
      </w:pPr>
      <w:r>
        <w:rPr>
          <w:rFonts w:eastAsia="仿宋_GB2312"/>
          <w:color w:val="auto"/>
          <w:sz w:val="24"/>
          <w:szCs w:val="24"/>
        </w:rPr>
        <w:t>对于覆土大于(结构层厚度+0.5m)的管道采用C20混凝土包管；对于覆土小于(结构层厚度+0.5m)的过路预留管采用C20混凝土满包并浇筑至路面面层，具体大样图参见埋深较浅管道处理大样图。</w:t>
      </w:r>
    </w:p>
    <w:p>
      <w:pPr>
        <w:spacing w:line="360" w:lineRule="auto"/>
        <w:ind w:firstLine="480" w:firstLineChars="200"/>
        <w:rPr>
          <w:rFonts w:eastAsia="仿宋_GB2312"/>
          <w:color w:val="auto"/>
          <w:sz w:val="24"/>
        </w:rPr>
      </w:pPr>
      <w:r>
        <w:rPr>
          <w:rFonts w:eastAsia="仿宋_GB2312"/>
          <w:color w:val="auto"/>
          <w:sz w:val="24"/>
        </w:rPr>
        <w:t>通道压力污水管采用C25混凝土满包，位于通道底部靠边敷设，满包做法见管道混凝土满包大样图。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（5）管道基础</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1）管道基础垫层材料</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Ⅱ级钢筋混凝土管基础参见《市政排水管道工程及附属设施》（06MS201，P11）施工。</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压力管采用优质素土作为垫层基础材料，敷设厚度为100mm。</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管道应敷设在承载力达到管道地基支撑强度要求的原状土地基或经处理后回填密实的地基上，管道基础地基承载力应不小于100kPa。若有不良土层应会同设计部门和建设部门，根据现场实际情况进行处理。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2）管道接口处基础处理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压力管道接口处的基础应挖凹槽，以便接口操作。在施工完成后，用砂填实。</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3）如遇岩石地基，超挖100mm，做优质素土垫层基础，垫层基础做法详见本设计《压力管道沟槽回填要求示意图》。</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4）管段包封处理</w:t>
      </w:r>
    </w:p>
    <w:p>
      <w:pPr>
        <w:tabs>
          <w:tab w:val="left" w:pos="525"/>
        </w:tabs>
        <w:adjustRightInd w:val="0"/>
        <w:snapToGrid w:val="0"/>
        <w:spacing w:line="360" w:lineRule="auto"/>
        <w:ind w:left="55" w:leftChars="26" w:firstLine="460" w:firstLineChars="192"/>
        <w:rPr>
          <w:rFonts w:eastAsia="仿宋_GB2312"/>
          <w:color w:val="auto"/>
          <w:sz w:val="24"/>
        </w:rPr>
      </w:pPr>
      <w:r>
        <w:rPr>
          <w:rFonts w:eastAsia="仿宋_GB2312"/>
          <w:color w:val="auto"/>
          <w:sz w:val="24"/>
        </w:rPr>
        <w:t>对局部管顶覆土不足的管道采用混凝土包封处理，管道外壁混凝土包封厚度不小于200mm，做法详见本设计《混凝土满包加固大样图》。</w:t>
      </w:r>
    </w:p>
    <w:p>
      <w:pPr>
        <w:pStyle w:val="295"/>
        <w:rPr>
          <w:color w:val="auto"/>
        </w:rPr>
      </w:pPr>
      <w:r>
        <w:rPr>
          <w:color w:val="auto"/>
        </w:rPr>
        <w:t>4.2 管道附属构筑物</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（1）阀门及阀门井</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本次设计选用手动闸阀，压力污水管阀门公称压力PN1.0MPa，球墨铸铁材质；阀门井选用地面操作立式闸阀井，做法详见07MS101-2-66、67、70、73、74、79。</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（2）排气阀及排气井</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压力管道上高点应设排气阀，设置于排气阀井内，排气阀做法详见07MS101-2-162、163、164、165，排气阀口径DN50，采用自动排气，公称压力1.0MPa。</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（3）排泥阀及排泥井</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1）排泥阀选用手动闸阀，闸阀公称压力1.0MPa，排泥阀口径DN75。</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2）排泥井具体做法详见07MS101-2-58、59，排泥湿井采用Φ1000钢筋混凝土模块井，参考图集《</w:t>
      </w:r>
      <w:r>
        <w:rPr>
          <w:color w:val="auto"/>
        </w:rPr>
        <w:fldChar w:fldCharType="begin"/>
      </w:r>
      <w:r>
        <w:rPr>
          <w:color w:val="auto"/>
        </w:rPr>
        <w:instrText xml:space="preserve"> HYPERLINK "https://www.so.com/link?m=bvKE0KX6mCP8tLme%2B4olijJVtvqK3ZvuwKQ8FBZyXaFWkusnLs%2FzDzLUfKszISp%2FwRIOXbwbmG%2BszdCvcHK5zzVBg%2FEI1kx%2F3rY%2BXBqJUUk5kQ6ahEuHJojIbQQjwzMZ6uuPuVg%3D%3D" \t "_blank" </w:instrText>
      </w:r>
      <w:r>
        <w:rPr>
          <w:color w:val="auto"/>
        </w:rPr>
        <w:fldChar w:fldCharType="separate"/>
      </w:r>
      <w:r>
        <w:rPr>
          <w:rFonts w:ascii="Times New Roman" w:hAnsi="Times New Roman" w:eastAsia="仿宋_GB2312"/>
          <w:color w:val="auto"/>
          <w:sz w:val="24"/>
          <w:szCs w:val="24"/>
        </w:rPr>
        <w:t>混凝土砌块式排水检查井</w:t>
      </w:r>
      <w:r>
        <w:rPr>
          <w:rFonts w:ascii="Times New Roman" w:hAnsi="Times New Roman" w:eastAsia="仿宋_GB2312"/>
          <w:color w:val="auto"/>
          <w:sz w:val="24"/>
          <w:szCs w:val="24"/>
        </w:rPr>
        <w:fldChar w:fldCharType="end"/>
      </w:r>
      <w:r>
        <w:rPr>
          <w:rFonts w:ascii="Times New Roman" w:hAnsi="Times New Roman" w:eastAsia="仿宋_GB2312"/>
          <w:color w:val="auto"/>
          <w:sz w:val="24"/>
          <w:szCs w:val="24"/>
        </w:rPr>
        <w:t>》（皖2015S209）。</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3）压力管低点应设排泥阀。排泥阀出水管如高程允许，直接排至附近雨水检查井或沟渠内，如不能直接排出，应建湿井，通过溢流方式接入下游排水管线。</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（4）消能井</w:t>
      </w:r>
    </w:p>
    <w:p>
      <w:pPr>
        <w:tabs>
          <w:tab w:val="left" w:pos="525"/>
        </w:tabs>
        <w:adjustRightInd w:val="0"/>
        <w:snapToGrid w:val="0"/>
        <w:spacing w:line="360" w:lineRule="auto"/>
        <w:ind w:firstLine="480" w:firstLineChars="200"/>
        <w:rPr>
          <w:rFonts w:eastAsia="仿宋_GB2312"/>
          <w:b/>
          <w:color w:val="auto"/>
          <w:sz w:val="24"/>
        </w:rPr>
      </w:pPr>
      <w:r>
        <w:rPr>
          <w:rFonts w:eastAsia="仿宋_GB2312"/>
          <w:color w:val="auto"/>
          <w:sz w:val="24"/>
        </w:rPr>
        <w:t>压力检查井、消能井做法详见设计图纸；</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（5）计量井</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采用钢筋混凝土矩形水表井，具体做法详见07MS101-2-134~146，水表采用污水管道式水表计量，数据远传功能，防护等级不低于IP65，测量介质包含污水、酸、碱等强腐蚀或含有杂质的导电液体，执行标准及检定依据：JB/T9248-1999、JJG1033-2007，公称压力1.0MPa，精度等级0.2级，流速范围0.1m/s-15m/s，电极材料不低于含钼不锈钢（316L），衬里材料不低于聚氯丁橡胶（CR）。</w:t>
      </w:r>
    </w:p>
    <w:p>
      <w:pPr>
        <w:tabs>
          <w:tab w:val="left" w:pos="525"/>
        </w:tabs>
        <w:adjustRightInd w:val="0"/>
        <w:snapToGrid w:val="0"/>
        <w:spacing w:line="360" w:lineRule="auto"/>
        <w:ind w:firstLine="482" w:firstLineChars="200"/>
        <w:rPr>
          <w:rFonts w:eastAsia="仿宋_GB2312"/>
          <w:b/>
          <w:color w:val="auto"/>
          <w:sz w:val="24"/>
          <w:szCs w:val="24"/>
        </w:rPr>
      </w:pPr>
      <w:r>
        <w:rPr>
          <w:rFonts w:eastAsia="仿宋_GB2312"/>
          <w:b/>
          <w:color w:val="auto"/>
          <w:sz w:val="24"/>
        </w:rPr>
        <w:t>（6）</w:t>
      </w:r>
      <w:r>
        <w:rPr>
          <w:rFonts w:eastAsia="仿宋_GB2312"/>
          <w:b/>
          <w:color w:val="auto"/>
          <w:sz w:val="24"/>
          <w:szCs w:val="24"/>
        </w:rPr>
        <w:t>雨水口及出水口</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本设计对雨污分流和因污水管网建设破坏恢复的雨水口采用砖砌偏沟式，参见标准图集06MS201-8，雨水口采用带防盗合页的球墨铸铁壁圈、篦子，雨水口深度一般采用1.0m。雨水口连接管采用d300，三篦以上的采用d400，均以i＝0.01坡向干管雨水检查井。</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八字进出水口、一字进出水口参见标准图集06MS201-9-5、6、10、11、12、16、17、18。</w:t>
      </w:r>
    </w:p>
    <w:p>
      <w:pPr>
        <w:tabs>
          <w:tab w:val="left" w:pos="525"/>
        </w:tabs>
        <w:adjustRightInd w:val="0"/>
        <w:snapToGrid w:val="0"/>
        <w:spacing w:line="360" w:lineRule="auto"/>
        <w:ind w:firstLine="482" w:firstLineChars="200"/>
        <w:rPr>
          <w:rFonts w:eastAsia="仿宋_GB2312"/>
          <w:b/>
          <w:color w:val="auto"/>
          <w:sz w:val="24"/>
          <w:szCs w:val="24"/>
        </w:rPr>
      </w:pPr>
      <w:r>
        <w:rPr>
          <w:rFonts w:eastAsia="仿宋_GB2312"/>
          <w:b/>
          <w:color w:val="auto"/>
          <w:sz w:val="24"/>
        </w:rPr>
        <w:t>（7）重力</w:t>
      </w:r>
      <w:r>
        <w:rPr>
          <w:rFonts w:eastAsia="仿宋_GB2312"/>
          <w:b/>
          <w:color w:val="auto"/>
          <w:sz w:val="24"/>
          <w:szCs w:val="24"/>
        </w:rPr>
        <w:t>检查井</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此次设计排水检查井采用混凝土模块式检查井和钢筋混凝土检查井。</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混凝土模块式雨水检查井参照标准图《</w:t>
      </w:r>
      <w:r>
        <w:rPr>
          <w:color w:val="auto"/>
        </w:rPr>
        <w:fldChar w:fldCharType="begin"/>
      </w:r>
      <w:r>
        <w:rPr>
          <w:color w:val="auto"/>
        </w:rPr>
        <w:instrText xml:space="preserve"> HYPERLINK "https://www.so.com/link?m=bvKE0KX6mCP8tLme%2B4olijJVtvqK3ZvuwKQ8FBZyXaFWkusnLs%2FzDzLUfKszISp%2FwRIOXbwbmG%2BszdCvcHK5zzVBg%2FEI1kx%2F3rY%2BXBqJUUk5kQ6ahEuHJojIbQQjwzMZ6uuPuVg%3D%3D" \t "_blank" </w:instrText>
      </w:r>
      <w:r>
        <w:rPr>
          <w:color w:val="auto"/>
        </w:rPr>
        <w:fldChar w:fldCharType="separate"/>
      </w:r>
      <w:r>
        <w:rPr>
          <w:rFonts w:eastAsia="仿宋_GB2312"/>
          <w:color w:val="auto"/>
          <w:sz w:val="24"/>
        </w:rPr>
        <w:t>混凝土砌块式排水检查井</w:t>
      </w:r>
      <w:r>
        <w:rPr>
          <w:rFonts w:eastAsia="仿宋_GB2312"/>
          <w:color w:val="auto"/>
          <w:sz w:val="24"/>
        </w:rPr>
        <w:fldChar w:fldCharType="end"/>
      </w:r>
      <w:r>
        <w:rPr>
          <w:rFonts w:eastAsia="仿宋_GB2312"/>
          <w:color w:val="auto"/>
          <w:sz w:val="24"/>
        </w:rPr>
        <w:t>》（皖2015S209）。</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钢筋混凝土检查井参照标准图06MS201-3。</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雨污水检查井内外墙均用防水水泥砂浆抹面。</w:t>
      </w:r>
    </w:p>
    <w:p>
      <w:pPr>
        <w:tabs>
          <w:tab w:val="left" w:pos="525"/>
        </w:tabs>
        <w:adjustRightInd w:val="0"/>
        <w:snapToGrid w:val="0"/>
        <w:spacing w:line="360" w:lineRule="auto"/>
        <w:ind w:firstLine="480" w:firstLineChars="200"/>
        <w:rPr>
          <w:rFonts w:eastAsia="仿宋_GB2312"/>
          <w:color w:val="auto"/>
          <w:sz w:val="24"/>
        </w:rPr>
      </w:pPr>
      <w:r>
        <w:rPr>
          <w:rFonts w:eastAsia="仿宋_GB2312"/>
          <w:color w:val="auto"/>
          <w:sz w:val="24"/>
        </w:rPr>
        <w:t>污水检查井覆土厚度＞6m时，必须采用钢筋混凝土检查井，将图集中盖板加厚80mm、盖板钢筋提高一档、盖板混凝土采用C30，墙厚加厚50mm，墙钢筋提高一档。</w:t>
      </w:r>
    </w:p>
    <w:p>
      <w:pPr>
        <w:tabs>
          <w:tab w:val="left" w:pos="525"/>
        </w:tabs>
        <w:adjustRightInd w:val="0"/>
        <w:snapToGrid w:val="0"/>
        <w:spacing w:line="360" w:lineRule="auto"/>
        <w:ind w:firstLine="482" w:firstLineChars="200"/>
        <w:rPr>
          <w:rFonts w:eastAsia="仿宋_GB2312"/>
          <w:b/>
          <w:color w:val="auto"/>
          <w:sz w:val="24"/>
        </w:rPr>
      </w:pPr>
      <w:r>
        <w:rPr>
          <w:rFonts w:eastAsia="仿宋_GB2312"/>
          <w:b/>
          <w:color w:val="auto"/>
          <w:sz w:val="24"/>
        </w:rPr>
        <w:t>（8）检查井盖及防人跌入网</w:t>
      </w:r>
    </w:p>
    <w:p>
      <w:pPr>
        <w:tabs>
          <w:tab w:val="left" w:pos="525"/>
        </w:tabs>
        <w:adjustRightInd w:val="0"/>
        <w:snapToGrid w:val="0"/>
        <w:spacing w:line="360" w:lineRule="auto"/>
        <w:ind w:firstLine="480" w:firstLineChars="200"/>
        <w:rPr>
          <w:rFonts w:eastAsia="仿宋_GB2312"/>
          <w:b/>
          <w:color w:val="auto"/>
          <w:sz w:val="24"/>
          <w:szCs w:val="24"/>
        </w:rPr>
      </w:pPr>
      <w:r>
        <w:rPr>
          <w:rFonts w:eastAsia="仿宋_GB2312"/>
          <w:color w:val="auto"/>
          <w:kern w:val="0"/>
          <w:sz w:val="24"/>
        </w:rPr>
        <w:t>位于机动车道和非机动车道检查井盖采用球墨铸铁重型（重量为120KG）的“五防”井盖，井盖承载能力等级为D400，并应满足《城镇检查井盖技术规范》（DB34/T 1118-2010）。位于人行道和绿化内的检查井盖采用复合材料或钢纤维混凝土井盖，井盖承载能力等级为B200，并应满足《城镇检查井盖技术规范》（DB34/T 1118-2010），同时应具有野外防盗措施。</w:t>
      </w:r>
    </w:p>
    <w:p>
      <w:pPr>
        <w:snapToGrid w:val="0"/>
        <w:spacing w:line="360" w:lineRule="auto"/>
        <w:ind w:firstLine="480"/>
        <w:rPr>
          <w:rFonts w:eastAsia="仿宋_GB2312"/>
          <w:color w:val="auto"/>
          <w:sz w:val="24"/>
        </w:rPr>
      </w:pPr>
      <w:r>
        <w:rPr>
          <w:rFonts w:eastAsia="仿宋_GB2312"/>
          <w:color w:val="auto"/>
          <w:sz w:val="24"/>
        </w:rPr>
        <w:t>检查井内设置防人跌入网，</w:t>
      </w:r>
      <w:r>
        <w:rPr>
          <w:rFonts w:eastAsia="仿宋_GB2312"/>
          <w:color w:val="auto"/>
          <w:sz w:val="24"/>
          <w:szCs w:val="24"/>
        </w:rPr>
        <w:t>参考图集《</w:t>
      </w:r>
      <w:r>
        <w:rPr>
          <w:color w:val="auto"/>
        </w:rPr>
        <w:fldChar w:fldCharType="begin"/>
      </w:r>
      <w:r>
        <w:rPr>
          <w:color w:val="auto"/>
        </w:rPr>
        <w:instrText xml:space="preserve"> HYPERLINK "https://www.so.com/link?m=bvKE0KX6mCP8tLme%2B4olijJVtvqK3ZvuwKQ8FBZyXaFWkusnLs%2FzDzLUfKszISp%2FwRIOXbwbmG%2BszdCvcHK5zzVBg%2FEI1kx%2F3rY%2BXBqJUUk5kQ6ahEuHJojIbQQjwzMZ6uuPuVg%3D%3D" \t "_blank" </w:instrText>
      </w:r>
      <w:r>
        <w:rPr>
          <w:color w:val="auto"/>
        </w:rPr>
        <w:fldChar w:fldCharType="separate"/>
      </w:r>
      <w:r>
        <w:rPr>
          <w:rFonts w:eastAsia="仿宋_GB2312"/>
          <w:color w:val="auto"/>
          <w:sz w:val="24"/>
          <w:szCs w:val="24"/>
        </w:rPr>
        <w:t>混凝土砌块式排水检查井</w:t>
      </w:r>
      <w:r>
        <w:rPr>
          <w:rFonts w:eastAsia="仿宋_GB2312"/>
          <w:color w:val="auto"/>
          <w:sz w:val="24"/>
          <w:szCs w:val="24"/>
        </w:rPr>
        <w:fldChar w:fldCharType="end"/>
      </w:r>
      <w:r>
        <w:rPr>
          <w:rFonts w:eastAsia="仿宋_GB2312"/>
          <w:color w:val="auto"/>
          <w:sz w:val="24"/>
          <w:szCs w:val="24"/>
        </w:rPr>
        <w:t>》（皖2015S209）</w:t>
      </w:r>
      <w:r>
        <w:rPr>
          <w:rFonts w:eastAsia="仿宋_GB2312"/>
          <w:color w:val="auto"/>
          <w:sz w:val="24"/>
        </w:rPr>
        <w:t>。</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sz w:val="24"/>
        </w:rPr>
        <w:t>为</w:t>
      </w:r>
      <w:r>
        <w:rPr>
          <w:rFonts w:eastAsia="仿宋_GB2312"/>
          <w:color w:val="auto"/>
          <w:kern w:val="0"/>
          <w:sz w:val="24"/>
        </w:rPr>
        <w:t>防止现状检查井受损或破坏无法利用，现状检查井均按新建考虑。</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井盖须与路面齐平，非路面井盖高出地面0.3m。</w:t>
      </w:r>
    </w:p>
    <w:p>
      <w:pPr>
        <w:snapToGrid w:val="0"/>
        <w:spacing w:line="360" w:lineRule="auto"/>
        <w:ind w:firstLine="480"/>
        <w:rPr>
          <w:rFonts w:eastAsia="仿宋_GB2312"/>
          <w:b/>
          <w:color w:val="auto"/>
          <w:sz w:val="24"/>
        </w:rPr>
      </w:pPr>
      <w:r>
        <w:rPr>
          <w:rFonts w:eastAsia="仿宋_GB2312"/>
          <w:b/>
          <w:color w:val="auto"/>
          <w:sz w:val="24"/>
        </w:rPr>
        <w:t>（9）支墩及支架</w:t>
      </w:r>
    </w:p>
    <w:p>
      <w:pPr>
        <w:snapToGrid w:val="0"/>
        <w:spacing w:line="360" w:lineRule="auto"/>
        <w:ind w:firstLine="480"/>
        <w:rPr>
          <w:rFonts w:eastAsia="仿宋_GB2312"/>
          <w:color w:val="auto"/>
          <w:sz w:val="24"/>
        </w:rPr>
      </w:pPr>
      <w:r>
        <w:rPr>
          <w:rFonts w:eastAsia="仿宋_GB2312"/>
          <w:color w:val="auto"/>
          <w:sz w:val="24"/>
        </w:rPr>
        <w:t>挂管施工段，管道支架做法参照图集03S402，页69。</w:t>
      </w:r>
    </w:p>
    <w:p>
      <w:pPr>
        <w:snapToGrid w:val="0"/>
        <w:spacing w:line="360" w:lineRule="auto"/>
        <w:ind w:firstLine="480"/>
        <w:rPr>
          <w:rFonts w:eastAsia="仿宋_GB2312"/>
          <w:color w:val="auto"/>
          <w:sz w:val="24"/>
        </w:rPr>
      </w:pPr>
      <w:r>
        <w:rPr>
          <w:rFonts w:eastAsia="仿宋_GB2312"/>
          <w:color w:val="auto"/>
          <w:sz w:val="24"/>
        </w:rPr>
        <w:t>管道变径、转弯处及三通处应设支墩，支墩施工参照图集10S505，P12、P13、P14、P15。</w:t>
      </w:r>
    </w:p>
    <w:p>
      <w:pPr>
        <w:snapToGrid w:val="0"/>
        <w:spacing w:line="360" w:lineRule="auto"/>
        <w:ind w:firstLine="480"/>
        <w:rPr>
          <w:rFonts w:eastAsia="仿宋_GB2312"/>
          <w:b/>
          <w:color w:val="auto"/>
          <w:sz w:val="24"/>
        </w:rPr>
      </w:pPr>
      <w:r>
        <w:rPr>
          <w:rFonts w:eastAsia="仿宋_GB2312"/>
          <w:b/>
          <w:color w:val="auto"/>
          <w:sz w:val="24"/>
        </w:rPr>
        <w:t>（10）标桩</w:t>
      </w:r>
    </w:p>
    <w:p>
      <w:pPr>
        <w:snapToGrid w:val="0"/>
        <w:spacing w:line="360" w:lineRule="auto"/>
        <w:ind w:firstLine="480"/>
        <w:rPr>
          <w:rFonts w:eastAsia="仿宋_GB2312"/>
          <w:color w:val="auto"/>
          <w:sz w:val="24"/>
        </w:rPr>
      </w:pPr>
      <w:r>
        <w:rPr>
          <w:rFonts w:eastAsia="仿宋_GB2312"/>
          <w:color w:val="auto"/>
          <w:sz w:val="24"/>
        </w:rPr>
        <w:t>管线拐弯、分岔等处设标桩外，直线段每隔200m 设一标桩。埋设必须牢靠，露出地面不少于100mm，标桩顶用红漆依次编桩号并喷涂“污水”标志。标桩规格：100mmx100mmx500mm。</w:t>
      </w:r>
    </w:p>
    <w:p>
      <w:pPr>
        <w:pStyle w:val="295"/>
        <w:rPr>
          <w:color w:val="auto"/>
        </w:rPr>
      </w:pPr>
      <w:r>
        <w:rPr>
          <w:color w:val="auto"/>
        </w:rPr>
        <w:t>4.3 管道开挖及回填</w:t>
      </w:r>
    </w:p>
    <w:p>
      <w:pPr>
        <w:snapToGrid w:val="0"/>
        <w:spacing w:line="360" w:lineRule="auto"/>
        <w:ind w:firstLine="480"/>
        <w:rPr>
          <w:rFonts w:eastAsia="仿宋_GB2312"/>
          <w:color w:val="auto"/>
          <w:sz w:val="24"/>
        </w:rPr>
      </w:pPr>
      <w:r>
        <w:rPr>
          <w:rFonts w:eastAsia="仿宋_GB2312"/>
          <w:color w:val="auto"/>
          <w:sz w:val="24"/>
        </w:rPr>
        <w:t>本道路雨污水管采用开挖埋设和拖管施工，若开挖后地质情况与地勘报告不符，请及时联系设计单位。开槽埋管，根据现场实际情况，本次污水压力管道开挖工作面宽度选用200~300mm，要求野外不少于0.4m的覆土，开挖原则要求地基为原状土，施工排水中不受扰动，开挖不应超挖，要求人工清底，地基如受扰动，基底设计标高以上0.2～0.3m 的原状土，应在敷设管道前人工清理至设计标高。如遇超挖或扰动，严禁用杂土回填，可换填粒径10～15mm天然级配砂石料，整平夯实，其压实度应达到93%以上。</w:t>
      </w:r>
    </w:p>
    <w:p>
      <w:pPr>
        <w:snapToGrid w:val="0"/>
        <w:spacing w:line="360" w:lineRule="auto"/>
        <w:ind w:firstLine="480"/>
        <w:rPr>
          <w:rFonts w:eastAsia="仿宋_GB2312"/>
          <w:b/>
          <w:color w:val="auto"/>
          <w:kern w:val="0"/>
          <w:sz w:val="24"/>
        </w:rPr>
      </w:pPr>
      <w:r>
        <w:rPr>
          <w:rFonts w:eastAsia="仿宋_GB2312"/>
          <w:color w:val="auto"/>
          <w:sz w:val="24"/>
        </w:rPr>
        <w:t>回填密实度：刚性管道管顶上方0.5m范围内不低于87%，柔性管道管顶上方0.5m范围内为85%正负2%；胸腔部分不得低于95% ，回填土含水量应适中，不应含有树枝，大块碎石，冻土，有机物等，回填时沟槽须无积水。</w:t>
      </w:r>
      <w:r>
        <w:rPr>
          <w:rFonts w:eastAsia="仿宋_GB2312"/>
          <w:b/>
          <w:color w:val="auto"/>
          <w:sz w:val="24"/>
        </w:rPr>
        <w:t>施工单位应根据地勘报告，考虑井点降水施工和基坑支护，并详细报价。回填材料：</w:t>
      </w:r>
      <w:r>
        <w:rPr>
          <w:rFonts w:eastAsia="仿宋_GB2312"/>
          <w:b/>
          <w:color w:val="auto"/>
          <w:sz w:val="24"/>
          <w:szCs w:val="24"/>
        </w:rPr>
        <w:t>管槽底至管顶以上20cm范围内</w:t>
      </w:r>
      <w:r>
        <w:rPr>
          <w:rFonts w:eastAsia="仿宋_GB2312"/>
          <w:b/>
          <w:color w:val="auto"/>
          <w:kern w:val="0"/>
          <w:sz w:val="24"/>
        </w:rPr>
        <w:t>采用</w:t>
      </w:r>
      <w:r>
        <w:rPr>
          <w:rFonts w:eastAsia="仿宋_GB2312"/>
          <w:b/>
          <w:color w:val="auto"/>
          <w:sz w:val="24"/>
          <w:szCs w:val="24"/>
        </w:rPr>
        <w:t>中粗砂回填。</w:t>
      </w:r>
      <w:r>
        <w:rPr>
          <w:rFonts w:eastAsia="仿宋_GB2312"/>
          <w:b/>
          <w:color w:val="auto"/>
          <w:kern w:val="0"/>
          <w:sz w:val="24"/>
        </w:rPr>
        <w:t>管顶以上20cm以上采用素土回填。</w:t>
      </w:r>
    </w:p>
    <w:p>
      <w:pPr>
        <w:snapToGrid w:val="0"/>
        <w:spacing w:line="360" w:lineRule="auto"/>
        <w:ind w:firstLine="480"/>
        <w:rPr>
          <w:rFonts w:eastAsia="仿宋_GB2312"/>
          <w:color w:val="auto"/>
          <w:sz w:val="24"/>
        </w:rPr>
      </w:pPr>
      <w:r>
        <w:rPr>
          <w:rFonts w:eastAsia="仿宋_GB2312"/>
          <w:color w:val="auto"/>
          <w:sz w:val="24"/>
        </w:rPr>
        <w:t>堆土距沟槽边缘不小于0.8m，且堆土高度不应超过1.5m；沟槽边堆置土方不得超过设计堆置高度。</w:t>
      </w:r>
      <w:r>
        <w:rPr>
          <w:rFonts w:eastAsia="仿宋_GB2312"/>
          <w:color w:val="auto"/>
          <w:sz w:val="24"/>
          <w:szCs w:val="24"/>
        </w:rPr>
        <w:t>PE管采用机械回填时，机械不得在管道上方行驶。</w:t>
      </w:r>
    </w:p>
    <w:p>
      <w:pPr>
        <w:pStyle w:val="295"/>
        <w:rPr>
          <w:color w:val="auto"/>
        </w:rPr>
      </w:pPr>
      <w:r>
        <w:rPr>
          <w:color w:val="auto"/>
        </w:rPr>
        <w:t>4.4 管道实施特殊工艺</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4.4.1 不良地基处理</w:t>
      </w:r>
    </w:p>
    <w:p>
      <w:pPr>
        <w:adjustRightInd w:val="0"/>
        <w:snapToGrid w:val="0"/>
        <w:spacing w:line="360" w:lineRule="auto"/>
        <w:ind w:firstLine="480" w:firstLineChars="200"/>
        <w:rPr>
          <w:rFonts w:eastAsia="仿宋_GB2312"/>
          <w:color w:val="auto"/>
          <w:sz w:val="24"/>
        </w:rPr>
      </w:pPr>
      <w:r>
        <w:rPr>
          <w:rFonts w:eastAsia="仿宋_GB2312"/>
          <w:color w:val="auto"/>
          <w:sz w:val="24"/>
        </w:rPr>
        <w:t>（1）淤泥质软土层管基处理</w:t>
      </w:r>
    </w:p>
    <w:p>
      <w:pPr>
        <w:adjustRightInd w:val="0"/>
        <w:snapToGrid w:val="0"/>
        <w:spacing w:line="360" w:lineRule="auto"/>
        <w:ind w:firstLine="480" w:firstLineChars="200"/>
        <w:rPr>
          <w:rFonts w:eastAsia="仿宋_GB2312"/>
          <w:color w:val="auto"/>
          <w:sz w:val="24"/>
        </w:rPr>
      </w:pPr>
      <w:r>
        <w:rPr>
          <w:rFonts w:eastAsia="仿宋_GB2312"/>
          <w:color w:val="auto"/>
          <w:sz w:val="24"/>
        </w:rPr>
        <w:t>管基承载力要求不小于100kpa，管基下设5cm土工格室、40cm碎石垫层和70cm大粒径山渣石垫层，抛石挤淤，提高基底持力层承载力，具体设计详见S3-2-20特殊路基设计图。</w:t>
      </w:r>
    </w:p>
    <w:p>
      <w:pPr>
        <w:adjustRightInd w:val="0"/>
        <w:snapToGrid w:val="0"/>
        <w:spacing w:line="360" w:lineRule="auto"/>
        <w:ind w:firstLine="480" w:firstLineChars="200"/>
        <w:rPr>
          <w:rFonts w:eastAsia="仿宋_GB2312"/>
          <w:color w:val="auto"/>
          <w:sz w:val="24"/>
        </w:rPr>
      </w:pPr>
      <w:r>
        <w:rPr>
          <w:rFonts w:eastAsia="仿宋_GB2312"/>
          <w:color w:val="auto"/>
          <w:sz w:val="24"/>
        </w:rPr>
        <w:t>（2）井点降水（若有）</w:t>
      </w:r>
    </w:p>
    <w:p>
      <w:pPr>
        <w:adjustRightInd w:val="0"/>
        <w:snapToGrid w:val="0"/>
        <w:spacing w:line="360" w:lineRule="auto"/>
        <w:ind w:firstLine="480" w:firstLineChars="200"/>
        <w:rPr>
          <w:rFonts w:eastAsia="仿宋_GB2312"/>
          <w:color w:val="auto"/>
          <w:sz w:val="24"/>
        </w:rPr>
      </w:pPr>
      <w:r>
        <w:rPr>
          <w:rFonts w:eastAsia="仿宋_GB2312"/>
          <w:color w:val="auto"/>
          <w:sz w:val="24"/>
        </w:rPr>
        <w:t>当地下水埋深一般较浅，水量较大时，管道埋设时需设置井点降水。建议施工方案如下：</w:t>
      </w:r>
    </w:p>
    <w:p>
      <w:pPr>
        <w:adjustRightInd w:val="0"/>
        <w:snapToGrid w:val="0"/>
        <w:spacing w:line="360" w:lineRule="auto"/>
        <w:ind w:firstLine="480" w:firstLineChars="200"/>
        <w:rPr>
          <w:rFonts w:eastAsia="仿宋_GB2312"/>
          <w:color w:val="auto"/>
          <w:sz w:val="24"/>
        </w:rPr>
      </w:pPr>
      <w:r>
        <w:rPr>
          <w:rFonts w:eastAsia="仿宋_GB2312"/>
          <w:color w:val="auto"/>
          <w:sz w:val="24"/>
        </w:rPr>
        <w:t>1）基础两侧采用双排井点降水，井点管间距1.0m，降水深度为基础底部1.2m。</w:t>
      </w:r>
    </w:p>
    <w:p>
      <w:pPr>
        <w:adjustRightInd w:val="0"/>
        <w:snapToGrid w:val="0"/>
        <w:spacing w:line="360" w:lineRule="auto"/>
        <w:ind w:firstLine="480" w:firstLineChars="200"/>
        <w:rPr>
          <w:rFonts w:eastAsia="仿宋_GB2312"/>
          <w:color w:val="auto"/>
          <w:sz w:val="24"/>
        </w:rPr>
      </w:pPr>
      <w:r>
        <w:rPr>
          <w:rFonts w:eastAsia="仿宋_GB2312"/>
          <w:color w:val="auto"/>
          <w:sz w:val="24"/>
        </w:rPr>
        <w:t>2）采用</w:t>
      </w:r>
      <w:r>
        <w:rPr>
          <w:color w:val="auto"/>
        </w:rPr>
        <w:fldChar w:fldCharType="begin"/>
      </w:r>
      <w:r>
        <w:rPr>
          <w:color w:val="auto"/>
        </w:rPr>
        <w:instrText xml:space="preserve"> HYPERLINK "http://zhidao.baidu.com/search?word=%E6%8A%BD%E6%B0%B4%E6%B3%B5&amp;fr=qb_search_exp&amp;ie=utf8" \t "_blank" </w:instrText>
      </w:r>
      <w:r>
        <w:rPr>
          <w:color w:val="auto"/>
        </w:rPr>
        <w:fldChar w:fldCharType="separate"/>
      </w:r>
      <w:r>
        <w:rPr>
          <w:rFonts w:eastAsia="仿宋_GB2312"/>
          <w:color w:val="auto"/>
          <w:sz w:val="24"/>
        </w:rPr>
        <w:t>抽水泵</w:t>
      </w:r>
      <w:r>
        <w:rPr>
          <w:rFonts w:eastAsia="仿宋_GB2312"/>
          <w:color w:val="auto"/>
          <w:sz w:val="24"/>
        </w:rPr>
        <w:fldChar w:fldCharType="end"/>
      </w:r>
      <w:r>
        <w:rPr>
          <w:rFonts w:eastAsia="仿宋_GB2312"/>
          <w:color w:val="auto"/>
          <w:sz w:val="24"/>
        </w:rPr>
        <w:t>吸口直径为Φ108mm，集水管根据现场实际确定长度。集水管两端用肓板封死后接Φ48管，用软胶管将总管和井点管连接成总管系统，集水总管系统与集水箱吸入口连接。</w:t>
      </w:r>
    </w:p>
    <w:p>
      <w:pPr>
        <w:adjustRightInd w:val="0"/>
        <w:snapToGrid w:val="0"/>
        <w:spacing w:line="360" w:lineRule="auto"/>
        <w:ind w:firstLine="480" w:firstLineChars="200"/>
        <w:rPr>
          <w:rFonts w:eastAsia="仿宋_GB2312"/>
          <w:color w:val="auto"/>
          <w:sz w:val="24"/>
        </w:rPr>
      </w:pPr>
      <w:r>
        <w:rPr>
          <w:rFonts w:eastAsia="仿宋_GB2312"/>
          <w:color w:val="auto"/>
          <w:sz w:val="24"/>
        </w:rPr>
        <w:t>3）井点管用Φ48钢管制成，长度结合排水管道纵断面确定，一端制成锥型封闭，下部1.5m长为滤管，设间距30mm一个Φ12圆孔，用18#铁线绑扎后，外用70目尼龙网包两层，用22#铁线绑牢，井点管每50根用一套设备。</w:t>
      </w:r>
    </w:p>
    <w:p>
      <w:pPr>
        <w:adjustRightInd w:val="0"/>
        <w:snapToGrid w:val="0"/>
        <w:spacing w:line="360" w:lineRule="auto"/>
        <w:ind w:firstLine="480" w:firstLineChars="200"/>
        <w:rPr>
          <w:rFonts w:eastAsia="仿宋_GB2312"/>
          <w:color w:val="auto"/>
          <w:sz w:val="24"/>
        </w:rPr>
      </w:pPr>
      <w:r>
        <w:rPr>
          <w:rFonts w:eastAsia="仿宋_GB2312"/>
          <w:color w:val="auto"/>
          <w:sz w:val="24"/>
        </w:rPr>
        <w:t>4）采用冲沉法布管，由打井管向地下注入高压水，将打井管对准点位垂直插入井点孔，边冲边拔边旋转并保持打井管垂直，调整</w:t>
      </w:r>
      <w:r>
        <w:rPr>
          <w:color w:val="auto"/>
        </w:rPr>
        <w:fldChar w:fldCharType="begin"/>
      </w:r>
      <w:r>
        <w:rPr>
          <w:color w:val="auto"/>
        </w:rPr>
        <w:instrText xml:space="preserve"> HYPERLINK "http://zhidao.baidu.com/search?word=%E6%B0%B4%E5%8E%8B&amp;fr=qb_search_exp&amp;ie=utf8" \t "_blank" </w:instrText>
      </w:r>
      <w:r>
        <w:rPr>
          <w:color w:val="auto"/>
        </w:rPr>
        <w:fldChar w:fldCharType="separate"/>
      </w:r>
      <w:r>
        <w:rPr>
          <w:rFonts w:eastAsia="仿宋_GB2312"/>
          <w:color w:val="auto"/>
          <w:sz w:val="24"/>
        </w:rPr>
        <w:t>水压</w:t>
      </w:r>
      <w:r>
        <w:rPr>
          <w:rFonts w:eastAsia="仿宋_GB2312"/>
          <w:color w:val="auto"/>
          <w:sz w:val="24"/>
        </w:rPr>
        <w:fldChar w:fldCharType="end"/>
      </w:r>
      <w:r>
        <w:rPr>
          <w:rFonts w:eastAsia="仿宋_GB2312"/>
          <w:color w:val="auto"/>
          <w:sz w:val="24"/>
        </w:rPr>
        <w:t>和沉入速度，保证冲孔直径达到要求，冲</w:t>
      </w:r>
      <w:r>
        <w:rPr>
          <w:color w:val="auto"/>
        </w:rPr>
        <w:fldChar w:fldCharType="begin"/>
      </w:r>
      <w:r>
        <w:rPr>
          <w:color w:val="auto"/>
        </w:rPr>
        <w:instrText xml:space="preserve"> HYPERLINK "http://zhidao.baidu.com/search?word=%E6%B0%B4%E5%8E%8B&amp;fr=qb_search_exp&amp;ie=utf8" \t "_blank" </w:instrText>
      </w:r>
      <w:r>
        <w:rPr>
          <w:color w:val="auto"/>
        </w:rPr>
        <w:fldChar w:fldCharType="separate"/>
      </w:r>
      <w:r>
        <w:rPr>
          <w:rFonts w:eastAsia="仿宋_GB2312"/>
          <w:color w:val="auto"/>
          <w:sz w:val="24"/>
        </w:rPr>
        <w:t>水压</w:t>
      </w:r>
      <w:r>
        <w:rPr>
          <w:rFonts w:eastAsia="仿宋_GB2312"/>
          <w:color w:val="auto"/>
          <w:sz w:val="24"/>
        </w:rPr>
        <w:fldChar w:fldCharType="end"/>
      </w:r>
      <w:r>
        <w:rPr>
          <w:rFonts w:eastAsia="仿宋_GB2312"/>
          <w:color w:val="auto"/>
          <w:sz w:val="24"/>
        </w:rPr>
        <w:t>力可逐渐加压，待冲沉至设计底</w:t>
      </w:r>
      <w:r>
        <w:rPr>
          <w:color w:val="auto"/>
        </w:rPr>
        <w:fldChar w:fldCharType="begin"/>
      </w:r>
      <w:r>
        <w:rPr>
          <w:color w:val="auto"/>
        </w:rPr>
        <w:instrText xml:space="preserve"> HYPERLINK "http://zhidao.baidu.com/search?word=%E6%A0%87%E9%AB%98&amp;fr=qb_search_exp&amp;ie=utf8" \t "_blank" </w:instrText>
      </w:r>
      <w:r>
        <w:rPr>
          <w:color w:val="auto"/>
        </w:rPr>
        <w:fldChar w:fldCharType="separate"/>
      </w:r>
      <w:r>
        <w:rPr>
          <w:rFonts w:eastAsia="仿宋_GB2312"/>
          <w:color w:val="auto"/>
          <w:sz w:val="24"/>
        </w:rPr>
        <w:t>标高</w:t>
      </w:r>
      <w:r>
        <w:rPr>
          <w:rFonts w:eastAsia="仿宋_GB2312"/>
          <w:color w:val="auto"/>
          <w:sz w:val="24"/>
        </w:rPr>
        <w:fldChar w:fldCharType="end"/>
      </w:r>
      <w:r>
        <w:rPr>
          <w:rFonts w:eastAsia="仿宋_GB2312"/>
          <w:color w:val="auto"/>
          <w:sz w:val="24"/>
        </w:rPr>
        <w:t>下0.5m时，打井管停止冲沉，再冲洗片刻将底部</w:t>
      </w:r>
      <w:r>
        <w:rPr>
          <w:color w:val="auto"/>
        </w:rPr>
        <w:fldChar w:fldCharType="begin"/>
      </w:r>
      <w:r>
        <w:rPr>
          <w:color w:val="auto"/>
        </w:rPr>
        <w:instrText xml:space="preserve"> HYPERLINK "http://zhidao.baidu.com/search?word=%E6%B3%A5%E6%B5%86&amp;fr=qb_search_exp&amp;ie=utf8" \t "_blank" </w:instrText>
      </w:r>
      <w:r>
        <w:rPr>
          <w:color w:val="auto"/>
        </w:rPr>
        <w:fldChar w:fldCharType="separate"/>
      </w:r>
      <w:r>
        <w:rPr>
          <w:rFonts w:eastAsia="仿宋_GB2312"/>
          <w:color w:val="auto"/>
          <w:sz w:val="24"/>
        </w:rPr>
        <w:t>泥浆</w:t>
      </w:r>
      <w:r>
        <w:rPr>
          <w:rFonts w:eastAsia="仿宋_GB2312"/>
          <w:color w:val="auto"/>
          <w:sz w:val="24"/>
        </w:rPr>
        <w:fldChar w:fldCharType="end"/>
      </w:r>
      <w:r>
        <w:rPr>
          <w:rFonts w:eastAsia="仿宋_GB2312"/>
          <w:color w:val="auto"/>
          <w:sz w:val="24"/>
        </w:rPr>
        <w:t>随水冲出，切断水源后，迅速垂直拨出打井管，随即将井点管对准井孔中心垂直插入，当井点管达到设计</w:t>
      </w:r>
      <w:r>
        <w:rPr>
          <w:color w:val="auto"/>
        </w:rPr>
        <w:fldChar w:fldCharType="begin"/>
      </w:r>
      <w:r>
        <w:rPr>
          <w:color w:val="auto"/>
        </w:rPr>
        <w:instrText xml:space="preserve"> HYPERLINK "http://zhidao.baidu.com/search?word=%E9%AB%98%E7%A8%8B&amp;fr=qb_search_exp&amp;ie=utf8" \t "_blank" </w:instrText>
      </w:r>
      <w:r>
        <w:rPr>
          <w:color w:val="auto"/>
        </w:rPr>
        <w:fldChar w:fldCharType="separate"/>
      </w:r>
      <w:r>
        <w:rPr>
          <w:rFonts w:eastAsia="仿宋_GB2312"/>
          <w:color w:val="auto"/>
          <w:sz w:val="24"/>
        </w:rPr>
        <w:t>高程</w:t>
      </w:r>
      <w:r>
        <w:rPr>
          <w:rFonts w:eastAsia="仿宋_GB2312"/>
          <w:color w:val="auto"/>
          <w:sz w:val="24"/>
        </w:rPr>
        <w:fldChar w:fldCharType="end"/>
      </w:r>
      <w:r>
        <w:rPr>
          <w:rFonts w:eastAsia="仿宋_GB2312"/>
          <w:color w:val="auto"/>
          <w:sz w:val="24"/>
        </w:rPr>
        <w:t>后，将井点管固定并将井点管管顶临时封堵。在井点管四周均匀分层填灌粗砂，填至</w:t>
      </w:r>
      <w:r>
        <w:rPr>
          <w:color w:val="auto"/>
        </w:rPr>
        <w:fldChar w:fldCharType="begin"/>
      </w:r>
      <w:r>
        <w:rPr>
          <w:color w:val="auto"/>
        </w:rPr>
        <w:instrText xml:space="preserve"> HYPERLINK "http://zhidao.baidu.com/search?word=%E5%9C%B0%E4%B8%8B%E6%B0%B4%E4%BD%8D&amp;fr=qb_search_exp&amp;ie=utf8" \t "_blank" </w:instrText>
      </w:r>
      <w:r>
        <w:rPr>
          <w:color w:val="auto"/>
        </w:rPr>
        <w:fldChar w:fldCharType="separate"/>
      </w:r>
      <w:r>
        <w:rPr>
          <w:rFonts w:eastAsia="仿宋_GB2312"/>
          <w:color w:val="auto"/>
          <w:sz w:val="24"/>
        </w:rPr>
        <w:t>地下水位</w:t>
      </w:r>
      <w:r>
        <w:rPr>
          <w:rFonts w:eastAsia="仿宋_GB2312"/>
          <w:color w:val="auto"/>
          <w:sz w:val="24"/>
        </w:rPr>
        <w:fldChar w:fldCharType="end"/>
      </w:r>
      <w:r>
        <w:rPr>
          <w:rFonts w:eastAsia="仿宋_GB2312"/>
          <w:color w:val="auto"/>
          <w:sz w:val="24"/>
        </w:rPr>
        <w:t>以上0.5m处，改填普通土捣实。</w:t>
      </w:r>
    </w:p>
    <w:p>
      <w:pPr>
        <w:adjustRightInd w:val="0"/>
        <w:snapToGrid w:val="0"/>
        <w:spacing w:line="360" w:lineRule="auto"/>
        <w:ind w:firstLine="480" w:firstLineChars="200"/>
        <w:rPr>
          <w:rFonts w:eastAsia="仿宋_GB2312"/>
          <w:color w:val="auto"/>
          <w:sz w:val="24"/>
        </w:rPr>
      </w:pPr>
      <w:r>
        <w:rPr>
          <w:rFonts w:eastAsia="仿宋_GB2312"/>
          <w:color w:val="auto"/>
          <w:sz w:val="24"/>
        </w:rPr>
        <w:t>5）当井点管封堵完成后，将管顶临时封堵打开，向井点管内灌水，当清水灌入后，迅速下沉，证明井点成孔合格。检试完成后，将井点管和集水干管连接，组装水泵机组，进行井点试运行。降水周期为以基础安装完毕，土方夯填完成后为井点结束。施工完毕终止抽水后，拨出井点管，所留孔洞应立即用砂填实。</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4.4.2 非开挖定向钻拖管</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PE管顶管（拖拉管）施工工艺流程及相关要求: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（1）测量放线</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1）根据施工图要求的入土点、出土点坐标放出钻机安装位置线，入土点、出土点位置放线时左右偏差不超过20cm，沿管轴线方向误差不超过40 cm，并做出明显标记。</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2）在拖管线路的地面上每隔2m设定一个平面位置控制点，用水准仪测出各控制点的自然地面标高，做好明显标记，从出土点、拖管线路到入土点必须保持直线</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（2）地下管线的探测和保护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1）提请建设单位提供施工区域地下管线资料。</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2）采用现场翻井盖，结合管线探测仪器测量的方法，测定地下管道、缆线的位置、深度和走向，同时在地表做标记。</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3）根据建设单位提供的管线资料，沿新建连接管道采用横向开挖沟槽的方法，摸清原有管线的具体位置和标高。</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4）给水管道钻孔施工时从施工深度上与航道河底留出足够的安全距离。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（3）钻机的安装和调试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1）钻机必须安装在入、出土点的连线上。</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2）钻机安装后，应进行试运转，并调整机头以达到一定的入土角度，以便导向开钻。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（4）导向孔的钻进</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开钻前将探测仪的探头置于导向钻头上，测试探头反射信号以保证探头精度，再将导向杆以5~7度入土角度钻入土中，每隔2米测定一次钻头位置，入土深度达到设计管位中心高程时，导向杆沿管道轴线直走，直到接收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2）在导向钻孔过程中技术人员根据所测获得钻头的角度、深度等数据，判断钻孔位置与钻进路线图的偏差，再向钻机操作人员进行调整,确保钻头沿设计轨迹钻进址，及时记录好导向数掷m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3）施工中适当控制钻进速度，保证导向孔光滑。</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（5）扩孔</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扩孔完成后根据扭矩及回拖力的大小，再使用扩孔头进行1-2次清孔，确保管线铺设通道通畅。</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（6）泥浆护壁</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1）泥浆的作用:冷却和润滑扩孔器、钻杆等，稳定钻孔，悬浮和输送土，减少土尘飞扬，降低由于粘性土层而产生的扭矩，防止塌孔，控制地下压力，防止地表沉降，清洁钻孔。</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2）泥浆粘度根据地质情况、穿越长度、管线直径及作业方式决定。初步确定配方为:水+优质澎润土十化学泥浆。并根据导向情况，随时调整泥浆配方。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3）泥浆在搅拌机内搅拌成糊状用高压注浆机在扩孔时注入，形成泥浆套，注入时必须同时满足用量和压力要求，泥浆的用量应为扩孔容积的2~3倍，其压力应控制在1Mp左右。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（7）管道连接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为保证接头的质量，对接时，要将两个接口刨平并保持清洁，并保证两管的中心在同一轴线上。采用热熔连接，加热温度要到位，对接时要保持规定的压力和时间。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（8）回拖</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管道检验合格后，钻头接上回扩头，分动器连接给水管道进行回拖。根据孔径、泵量确定回拖速度并根据实际情况随时调整。将管子回拖到工作井后，卸下回扩头、分动器、取出剩余钻杆,堵上封堵头，进行水压试验，合格后则拖管工程完成。</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（9）浆液置换</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1）为防止扩孔直径与管径之差造成道路沉降，可将部分给水管周围的泥浆置换成水泥浆，加强钻孔周围土层强度，对管道也起到很好的保护作用。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2）注浆采用液压注浆泵，注浆管随回拖管一起拖入钻孔，应尽量让注浆管保持在给水管中上方，保证水泥浆注入后分散均匀。</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3）注浆参数选取:水灰比1:1，水泥选取普通硅酸岩水泥。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4）注浆开始后,两侧工作坑内会有泥浆排出，直到将钻孔注满，两侧工作坑返出纯水泥浆为止。注浆同时应注意及时清运，防止泥浆进入雨水管、客井等，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5）水泥浆用量=(钻孔体积-管道体积）×A%，可填充比A一般为15~18。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（10）工程收尾</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拖管完成后撤退设备，清理工作场地，整理施工资料，画好竣工</w:t>
      </w:r>
    </w:p>
    <w:p>
      <w:pPr>
        <w:pStyle w:val="295"/>
        <w:rPr>
          <w:color w:val="auto"/>
        </w:rPr>
      </w:pPr>
      <w:r>
        <w:rPr>
          <w:color w:val="auto"/>
        </w:rPr>
        <w:t>4.5 管道试压</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a管道施工安装完毕后必须进行有压管道强度及严密性试验，试验采用水压试验。</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b试压管段分段长度不宜大于1.0km。</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c管道工作压力为0.6MPa，实验压力为1.1MPa.。</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sz w:val="24"/>
          <w:szCs w:val="24"/>
        </w:rPr>
        <w:t>d具体试压做法和要求详见GB50268-2008。</w:t>
      </w:r>
    </w:p>
    <w:p>
      <w:pPr>
        <w:pStyle w:val="295"/>
        <w:rPr>
          <w:color w:val="auto"/>
        </w:rPr>
      </w:pPr>
      <w:r>
        <w:rPr>
          <w:color w:val="auto"/>
        </w:rPr>
        <w:t>4.6 其它施工注意事项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管道设计为图上定线，施工时以实地测量放线为准；施工前应认真校测上下游现状及已施工管线的断面、高程、位置，做好施工配合工作，如发现问题请及时与设计人员研究解决；施工阶段如遇未知现状管线，且与本设计发生矛盾时，应及时通知设计人员，共同研究解决；施工前应复测与本次设计相关的现状河道（沟渠）断面、河底高程以及现状合流管管径及管道高程，如与设计不符，应及时联系、调整。</w:t>
      </w:r>
    </w:p>
    <w:p>
      <w:pPr>
        <w:pStyle w:val="15"/>
        <w:spacing w:line="360" w:lineRule="auto"/>
        <w:ind w:firstLine="480"/>
        <w:rPr>
          <w:rFonts w:ascii="Times New Roman" w:hAnsi="Times New Roman" w:eastAsia="仿宋_GB2312"/>
          <w:color w:val="auto"/>
          <w:sz w:val="24"/>
          <w:szCs w:val="24"/>
        </w:rPr>
      </w:pPr>
      <w:r>
        <w:rPr>
          <w:rFonts w:ascii="Times New Roman" w:hAnsi="Times New Roman" w:eastAsia="仿宋_GB2312"/>
          <w:color w:val="auto"/>
          <w:kern w:val="0"/>
          <w:sz w:val="24"/>
          <w:szCs w:val="20"/>
        </w:rPr>
        <w:t>（2）污水管道应做闭水试验，以确保排水管道安全使用。</w:t>
      </w:r>
      <w:r>
        <w:rPr>
          <w:rFonts w:ascii="Times New Roman" w:hAnsi="Times New Roman" w:eastAsia="仿宋_GB2312"/>
          <w:color w:val="auto"/>
          <w:sz w:val="24"/>
          <w:szCs w:val="24"/>
        </w:rPr>
        <w:t>在管道试压前，一般情况下，管顶以上回填土高度不宜小于500mm，应留出管道接头处不进行回填。</w:t>
      </w:r>
    </w:p>
    <w:p>
      <w:pPr>
        <w:snapToGrid w:val="0"/>
        <w:spacing w:line="360" w:lineRule="auto"/>
        <w:ind w:firstLine="480"/>
        <w:rPr>
          <w:rFonts w:eastAsia="仿宋_GB2312"/>
          <w:b/>
          <w:color w:val="auto"/>
          <w:sz w:val="24"/>
        </w:rPr>
      </w:pPr>
      <w:r>
        <w:rPr>
          <w:b/>
          <w:color w:val="auto"/>
          <w:sz w:val="24"/>
        </w:rPr>
        <w:t>（3）</w:t>
      </w:r>
      <w:r>
        <w:rPr>
          <w:rFonts w:eastAsia="仿宋_GB2312"/>
          <w:b/>
          <w:color w:val="auto"/>
          <w:sz w:val="24"/>
        </w:rPr>
        <w:t>管道与相交道路的已施工管道的衔接，要事先予以实测，如与设计标高或标注位置不符，请及时联系，以保证设计管道的顺接。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管道开挖施工前应做好新建管线的施工组织工作，做好现状管道的勘测和保护，合理安排施工便道及材料堆场，并对周边房屋及地上杆线等构筑物采取必要的支护；由于建设单位未提供现状道路下及河岸边其他管线资料，故施工前应勤挖探沟、仔细调查现状道路下其它相关管线位置，确保安全，对损坏的其它相关管线应进行修复。工程范围内，各类现状管线必须在管线所属单位派员监护情况下现场刨验，探明准确位置。各类管线迁移和保护方案应征得相关产权单位和主管部门同意，严格按照批准后的方案和相关要求进行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（5）该工程应严格按照《给水排水管道工程施工及验收规范》（GB50268-2008）。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施工过程中应对保留利用排水管道、沿线现状其他管杆线进行保护，若有破坏，需原样恢复现状保留管、杆线。施工设计管线时，若临近现状管、杆线暂未迁移，需对其采取保护措施；若临近有建筑物，在开挖影响范围内需对其采取保护措施。施工设计管线时，对所有新建管线穿越现状管线段，施工时需注意保护现状管线，并采取保护措施；若现状管线有所损坏，需原样恢复。若原有绿化带保留利用，则在施工时，需在绿化带边做支护措施。对于道路红线内或离红线较近的高压铁塔及电力杆线，开挖影响范围内施工时需采取保护措施。现状管线横穿道路和广场时，注意复核设计路面高程，并制定专项保护加固方案，若高程冲突，应制定相应处理措施。</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与其他专业管道交叉且距离过近处，施工前应做好协调配合工作，如遇特殊情况应及时通知设计现场处理。由于地下管线较多，若设计污水管与其他管道之间的间隙有限，当垂直净距小于0.3 米时，中间用砂填充，填充面积为3DX3D（D 为管道直径），填砂厚度从下面管道顶至上面管道顶。</w:t>
      </w:r>
    </w:p>
    <w:p>
      <w:pPr>
        <w:tabs>
          <w:tab w:val="left" w:pos="525"/>
        </w:tabs>
        <w:adjustRightInd w:val="0"/>
        <w:snapToGrid w:val="0"/>
        <w:spacing w:line="360" w:lineRule="auto"/>
        <w:ind w:firstLine="482" w:firstLineChars="200"/>
        <w:rPr>
          <w:rFonts w:eastAsia="仿宋_GB2312"/>
          <w:b/>
          <w:color w:val="auto"/>
          <w:sz w:val="24"/>
        </w:rPr>
      </w:pPr>
      <w:r>
        <w:rPr>
          <w:b/>
          <w:color w:val="auto"/>
          <w:sz w:val="24"/>
        </w:rPr>
        <w:t>（7）</w:t>
      </w:r>
      <w:r>
        <w:rPr>
          <w:rFonts w:eastAsia="仿宋_GB2312"/>
          <w:b/>
          <w:color w:val="auto"/>
          <w:sz w:val="24"/>
        </w:rPr>
        <w:t>施工单位务必考虑现状排水管清淤、现状管、杆线保护、临时迁移和原样恢复的相关措施及费用。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（8）施工过程中，若设计排水管道与现状管线冲突，请及时与设计单位联系，并按照以下原则处理：</w:t>
      </w:r>
      <w:r>
        <w:rPr>
          <w:rFonts w:hint="eastAsia" w:ascii="宋体" w:hAnsi="宋体" w:cs="宋体"/>
          <w:color w:val="auto"/>
          <w:kern w:val="0"/>
          <w:sz w:val="24"/>
        </w:rPr>
        <w:t>①</w:t>
      </w:r>
      <w:r>
        <w:rPr>
          <w:rFonts w:eastAsia="仿宋_GB2312"/>
          <w:color w:val="auto"/>
          <w:kern w:val="0"/>
          <w:sz w:val="24"/>
        </w:rPr>
        <w:t>压力管线让重力自流管线；</w:t>
      </w:r>
      <w:r>
        <w:rPr>
          <w:rFonts w:hint="eastAsia" w:ascii="宋体" w:hAnsi="宋体" w:cs="宋体"/>
          <w:color w:val="auto"/>
          <w:kern w:val="0"/>
          <w:sz w:val="24"/>
        </w:rPr>
        <w:t>②</w:t>
      </w:r>
      <w:r>
        <w:rPr>
          <w:rFonts w:eastAsia="仿宋_GB2312"/>
          <w:color w:val="auto"/>
          <w:kern w:val="0"/>
          <w:sz w:val="24"/>
        </w:rPr>
        <w:t>可弯曲管线让不易弯曲管线；</w:t>
      </w:r>
      <w:r>
        <w:rPr>
          <w:rFonts w:hint="eastAsia" w:ascii="宋体" w:hAnsi="宋体" w:cs="宋体"/>
          <w:color w:val="auto"/>
          <w:kern w:val="0"/>
          <w:sz w:val="24"/>
        </w:rPr>
        <w:t>③</w:t>
      </w:r>
      <w:r>
        <w:rPr>
          <w:rFonts w:eastAsia="仿宋_GB2312"/>
          <w:color w:val="auto"/>
          <w:kern w:val="0"/>
          <w:sz w:val="24"/>
        </w:rPr>
        <w:t>分支管线让主干管线；</w:t>
      </w:r>
      <w:r>
        <w:rPr>
          <w:rFonts w:hint="eastAsia" w:ascii="宋体" w:hAnsi="宋体" w:cs="宋体"/>
          <w:color w:val="auto"/>
          <w:kern w:val="0"/>
          <w:sz w:val="24"/>
        </w:rPr>
        <w:t>④</w:t>
      </w:r>
      <w:r>
        <w:rPr>
          <w:rFonts w:eastAsia="仿宋_GB2312"/>
          <w:color w:val="auto"/>
          <w:kern w:val="0"/>
          <w:sz w:val="24"/>
        </w:rPr>
        <w:t>小管径管线让大管径管线。工程建设中应考虑由此产生的费用。</w:t>
      </w:r>
    </w:p>
    <w:p>
      <w:pPr>
        <w:tabs>
          <w:tab w:val="left" w:pos="525"/>
        </w:tabs>
        <w:adjustRightInd w:val="0"/>
        <w:snapToGrid w:val="0"/>
        <w:spacing w:line="360" w:lineRule="auto"/>
        <w:ind w:firstLine="482" w:firstLineChars="200"/>
        <w:rPr>
          <w:rFonts w:eastAsia="仿宋_GB2312"/>
          <w:b/>
          <w:color w:val="auto"/>
          <w:sz w:val="24"/>
        </w:rPr>
      </w:pPr>
      <w:r>
        <w:rPr>
          <w:b/>
          <w:color w:val="auto"/>
          <w:sz w:val="24"/>
        </w:rPr>
        <w:t>（9）</w:t>
      </w:r>
      <w:r>
        <w:rPr>
          <w:rFonts w:eastAsia="仿宋_GB2312"/>
          <w:b/>
          <w:color w:val="auto"/>
          <w:sz w:val="24"/>
        </w:rPr>
        <w:t>现状与本工程相关联的保留利用雨污水管应进行清淤处理。</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（10）工程结构如遇冬雨季施工时，应注意采取相应的技术措施，以保证结构施工质量。</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11）所有管（渠）沟槽的开挖和支撑应必须根据现场实际情况，严格按照《给水排水管道工程施工及验收规范》（GB50268-2008）中要求执行，以保证安全的工作面宽度和边坡坡度，如果受现场实际条件限制确实无法保证一定的开挖宽度，应根据规范加设沟槽支撑等相关措施。同时应注意对周边现状构筑物的影响和保护，并确保施工安全。</w:t>
      </w:r>
    </w:p>
    <w:p>
      <w:pPr>
        <w:tabs>
          <w:tab w:val="left" w:pos="525"/>
        </w:tabs>
        <w:adjustRightInd w:val="0"/>
        <w:snapToGrid w:val="0"/>
        <w:spacing w:line="360" w:lineRule="auto"/>
        <w:ind w:firstLine="482" w:firstLineChars="200"/>
        <w:rPr>
          <w:rFonts w:eastAsia="仿宋_GB2312"/>
          <w:b/>
          <w:bCs/>
          <w:color w:val="auto"/>
          <w:kern w:val="0"/>
          <w:sz w:val="24"/>
        </w:rPr>
      </w:pPr>
      <w:r>
        <w:rPr>
          <w:rFonts w:eastAsia="仿宋_GB2312"/>
          <w:b/>
          <w:bCs/>
          <w:color w:val="auto"/>
          <w:kern w:val="0"/>
          <w:sz w:val="24"/>
        </w:rPr>
        <w:t>对于需进行深基坑支护的管道、检查井、构筑物等，施工前应做好深基坑施工方案设计并进行专家评审，评审通过后方可施工。</w:t>
      </w:r>
    </w:p>
    <w:p>
      <w:pPr>
        <w:tabs>
          <w:tab w:val="left" w:pos="525"/>
        </w:tabs>
        <w:adjustRightInd w:val="0"/>
        <w:snapToGrid w:val="0"/>
        <w:spacing w:line="360" w:lineRule="auto"/>
        <w:ind w:firstLine="482" w:firstLineChars="200"/>
        <w:rPr>
          <w:rFonts w:eastAsia="仿宋_GB2312"/>
          <w:b/>
          <w:bCs/>
          <w:color w:val="auto"/>
          <w:kern w:val="0"/>
          <w:sz w:val="24"/>
        </w:rPr>
      </w:pPr>
      <w:r>
        <w:rPr>
          <w:rFonts w:eastAsia="仿宋_GB2312"/>
          <w:b/>
          <w:bCs/>
          <w:color w:val="auto"/>
          <w:kern w:val="0"/>
          <w:sz w:val="24"/>
        </w:rPr>
        <w:t>根据《危险性较大的分部分项工程安全管理规定》，对于本工程中危险性较大的工程，施工单位在工程实施前应编制专项施工方案，确保施工安全。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（12）下游污水管道未启用前，污水管道临时封堵。施工期间做好临时导流措施，确保镇区排水安全畅通。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（13）部分管道占水塘段，需填塘、围堰施工。先抽干围堰内积水，清除淤泥至原状土，采用山皮土或级配砂石分层碾压回填至管道基础，处理范围为管道基础外侧各4 米，压实度应满足《给水排水管道工程施工及验收规范》（GB50268-2008）的要求。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（14）其他未尽事宜参见及严格按照《给水排水管道工程施工及验收规范》（GB50268-2008）及其他相关技术规程及规范进行。</w:t>
      </w:r>
    </w:p>
    <w:p>
      <w:pPr>
        <w:pStyle w:val="294"/>
        <w:rPr>
          <w:rFonts w:cs="Times New Roman"/>
          <w:color w:val="auto"/>
        </w:rPr>
      </w:pPr>
      <w:r>
        <w:rPr>
          <w:rFonts w:cs="Times New Roman"/>
          <w:color w:val="auto"/>
        </w:rPr>
        <w:t>5 结构物施工要点</w:t>
      </w:r>
    </w:p>
    <w:p>
      <w:pPr>
        <w:pStyle w:val="295"/>
        <w:rPr>
          <w:color w:val="auto"/>
        </w:rPr>
      </w:pPr>
      <w:r>
        <w:rPr>
          <w:color w:val="auto"/>
        </w:rPr>
        <w:t>5.1工程设计概况及主要技术标准</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1）结构形式:整体式现浇钢筋混凝土结构。</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2）结构设计使用年限50年；结构安全等级为二级。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3）抗震设防烈度6度,地震动峰值加速度：0.05g,结构的抗震等级为四级。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4）地下工程防水等级：二级。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5）砼结构的环境类别为二b类。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6）裂缝控制等级为三级，裂缝最大宽度限制：0.2mm。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7）构筑物抗浮安全系数&gt;1.05(不计摩阻)或1.15(计摩阻)，管道抗浮安全系数&gt;1.10。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8）地基基础设计等级乙级。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9）活载标准值：顶板活荷载标准值10KPa,地下水重度:10KN/m3,地下水侧压力计算水位为自然地面下1米。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10）未经技术鉴定或设计许可，不得改变结构的用途和使用环境。</w:t>
      </w:r>
    </w:p>
    <w:p>
      <w:pPr>
        <w:pStyle w:val="295"/>
        <w:rPr>
          <w:color w:val="auto"/>
        </w:rPr>
      </w:pPr>
      <w:r>
        <w:rPr>
          <w:color w:val="auto"/>
        </w:rPr>
        <w:t>5.2设计依据及规范</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1）《工程结构可靠性设计统一标准》GB50153-2008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2）《混凝土结构设计规范》GB50010-2010(2015版)</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3）《建筑结构荷载规范》GB50009-2012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4）《建筑抗震设计规范》GB50011-2010(2016版)</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5）《建筑地基基础设计规范》GB50007-2011</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7）《建筑工程抗震设防分类标准》GB50223-2008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8）《建筑地基处理技术规范》JGJ79-2012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9）《建筑地面工程施工质量验收规范》GB50209-2010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10）《砌体结构设计规范》GB 50003-2011</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11）《建筑桩基技术规范》JGJ94-2008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12）《构筑物抗震设计规范》GB50191-2012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13）《给水排水工程构筑物结构设计规范》GB 50069-2002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14）《给水排水工程钢筋混凝土水池结构设计规程》CECS 138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15）《室外给水排水和燃气热力工程抗震设计规范》GB 50032-2003</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16）《工业建筑防腐蚀设计标准》GB 50046-2018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17）《给水排水构筑物施工及验收规范》GB50141-2008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18）《混凝土外加剂应用技术规范》GB 50119-2013</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19）《给水排水工程管道结构设计规范》GB50332-2002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20）《地下工程防水技术规范》GB 50108-2008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21）《混凝土结构耐久性设计标准》（GB/T 50476-2019）</w:t>
      </w:r>
    </w:p>
    <w:p>
      <w:pPr>
        <w:pStyle w:val="295"/>
        <w:rPr>
          <w:color w:val="auto"/>
        </w:rPr>
      </w:pPr>
      <w:r>
        <w:rPr>
          <w:color w:val="auto"/>
        </w:rPr>
        <w:t>5.3 场地地质状况概述</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本次提供北区10个服务区共59个勘探孔的地质资料，分布为濉溪、符离、虞姬、吕望、四方湖、凤台、颍上、焦岗湖、八公山及杜集服务区。</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5.3.1地层分布</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依据地层的时代，岩性及其物理力学性质，具体工程地质特征、厚度、顶板埋深、顶板标高等各工程地质层见剖面图。</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①</w:t>
      </w:r>
      <w:r>
        <w:rPr>
          <w:rFonts w:eastAsia="仿宋_GB2312"/>
          <w:color w:val="auto"/>
          <w:kern w:val="0"/>
          <w:sz w:val="24"/>
        </w:rPr>
        <w:t>层：杂填土：杂色，松散，稍湿～湿，主要成分以粉质粘土夹粉土为主，局部为岩块，混少许粘性土、细砂砾及碎石、碎砖等，分布不均匀，局部地段为路基填土。</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全场地分布；最薄处为0.30米，见于BGSZ2号孔；最厚处为4.60米，见于YJZ3号孔；平均厚度为2.16米；层面最高处标高为42.05米，见于BGSZ3号孔；层面最低处标高为13.50米，见于YJZ2号孔；平均标高为20.75米；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②</w:t>
      </w:r>
      <w:r>
        <w:rPr>
          <w:rFonts w:eastAsia="仿宋_GB2312"/>
          <w:color w:val="auto"/>
          <w:kern w:val="0"/>
          <w:sz w:val="24"/>
        </w:rPr>
        <w:t>层粉质粘土：灰黄、褐黄色，湿，软塑～可塑，局部夹有粉土，干强度中等，中等韧性，摇震反应无，稍有光泽。中等压缩性。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局部分布，仅在第JGHZ2，JGHZ3，JGHZ4，BGSZ3，BGSZ4，DJZ3，DJZ4，号孔一带可见；最薄处为0.50米，见于DJZ3号孔；最厚处为1.50米，见于BGSZ3号孔；平均厚度为0.91米；层面最高处标高为40.85米，见于BGSZ3号孔；层面最低处标高为13.30米，见于JGHZ3号孔；平均标高为25.04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③</w:t>
      </w:r>
      <w:r>
        <w:rPr>
          <w:rFonts w:eastAsia="仿宋_GB2312"/>
          <w:color w:val="auto"/>
          <w:kern w:val="0"/>
          <w:sz w:val="24"/>
        </w:rPr>
        <w:t>层粉质粘土：褐黄、棕黄色，湿，可塑～硬塑，局部夹有铁锰结核或砾石，干强度中等，中等韧性，摇震反应无，稍有光泽。中等压缩性。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局部分布；最薄处为3.00米，见于FTZ4号孔；最厚处为9.70米，见于BGSZ2号孔；平均厚度为5.91米；层面最高处标高为41.40米，见于BGSZ2号孔；层面最低处标高为11.43米，见于JGHZ1号孔；平均标高为19.88米；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④</w:t>
      </w:r>
      <w:r>
        <w:rPr>
          <w:rFonts w:eastAsia="仿宋_GB2312"/>
          <w:color w:val="auto"/>
          <w:kern w:val="0"/>
          <w:sz w:val="24"/>
        </w:rPr>
        <w:t>层粉砂夹粉土：灰色、灰黄，很湿～饱和，稍密～中密状，不均匀夹粉土（局部粉土呈中密-密实状），中等压缩性。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局部分布；最薄处为3.40米，见于FTZ5号孔；最厚处为9.40米，见于YJZ2号孔；平均厚度为6.62米；层面最高处标高为22.71米，见于SXZ3号孔；层面最低处标高为9.57米，见于FTZ5号孔；平均标高为16.00米；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⑤</w:t>
      </w:r>
      <w:r>
        <w:rPr>
          <w:rFonts w:eastAsia="仿宋_GB2312"/>
          <w:color w:val="auto"/>
          <w:kern w:val="0"/>
          <w:sz w:val="24"/>
        </w:rPr>
        <w:t>层粉土：灰黄色、青灰色，稍密，湿，中压缩性，含云母片，摇振反应迅速，具水平沉积层理。局部夹粉质粘土及少量粉砂薄层。干强度中等，中等韧性，稍有光泽。中等压缩性。局部分布，仅在第YSZ1，YSZ2，YSZ3，YSZ4，号孔一带可见；最薄处为7.60米，见于YSZ1号孔；最厚处为8.70米，见于YSZ3号孔；平均厚度为8.13米；层面最高处标高为14.30米，见于YSZ3号孔；层面最低处标高为13.43米，见于YSZ1号孔；平均标高为13.84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⑥</w:t>
      </w:r>
      <w:r>
        <w:rPr>
          <w:rFonts w:eastAsia="仿宋_GB2312"/>
          <w:color w:val="auto"/>
          <w:kern w:val="0"/>
          <w:sz w:val="24"/>
        </w:rPr>
        <w:t>层强风化泥质粉砂岩：褐红色、砖红色，结构已破坏，岩石受风化作用强烈，岩芯呈砂砾状、碎块状，锤击易碎。岩芯遇水易软化，微膨胀，暴露后具崩解性。砂岩成分主要为石英、长石，泥质胶结，土体状夹碎石，手捏易碎，遇水软化，水冲易散。</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局部分布，仅在第YJZ4，YJZ5，YJZ6，YJZ7，号孔一带可见；最薄处为1.00米，见于YJZ4号孔；最厚处为1.50米，见于YJZ5号孔；平均厚度为1.25米；层面最高处标高为15.03米，见于YJZ4号孔；层面最低处标高为13.56米，见于YJZ7号孔；平均标高为14.12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第</w:t>
      </w:r>
      <w:r>
        <w:rPr>
          <w:rFonts w:hint="eastAsia" w:ascii="宋体" w:hAnsi="宋体" w:cs="宋体"/>
          <w:color w:val="auto"/>
          <w:kern w:val="0"/>
          <w:sz w:val="24"/>
        </w:rPr>
        <w:t>⑦</w:t>
      </w:r>
      <w:r>
        <w:rPr>
          <w:rFonts w:eastAsia="仿宋_GB2312"/>
          <w:color w:val="auto"/>
          <w:kern w:val="0"/>
          <w:sz w:val="24"/>
        </w:rPr>
        <w:t>层中风化泥质粉砂岩：砖红色、棕红色，岩芯呈短柱状、碎块状，局部长柱状，节理、裂隙较发育，锤击声哑，岩体完整程度较完整，属于软岩，岩体基本质量等级为Ⅳ级。</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局部分布，仅在第YJZ4，YJZ5，YJZ6，YJZ7，号孔一带可见；最薄处为2.70米，见于YJZ7号孔；最厚处为4.00米，见于YJZ4号孔；平均厚度为3.22米；层面最高处标高为14.03米，见于YJZ4号孔；层面最低处标高为12.16米，见于YJZ7号孔；平均标高为12.87米。</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5.3.2 岩土物理力学参数</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根据工程区岩（土）体工程地质性状特征及埋藏条件，以《市政工程勘察规范》（CJJ56-2012）、《岩土工程勘察规范（2009年版）》（GB50021-2001）及相关规范、规程为依据，结合现场标准贯入试验及室内试验成果，参考借鉴临近工程勘察成果等工程试验和检测资料，并结合地区建筑经验，综合确定场区岩（土）体主要物理力学参数地质建议值见表2.4-1。</w:t>
      </w:r>
    </w:p>
    <w:p>
      <w:pPr>
        <w:spacing w:line="360" w:lineRule="auto"/>
        <w:jc w:val="center"/>
        <w:rPr>
          <w:rFonts w:eastAsia="仿宋_GB2312"/>
          <w:b/>
          <w:bCs/>
          <w:color w:val="auto"/>
          <w:sz w:val="24"/>
        </w:rPr>
      </w:pPr>
      <w:r>
        <w:rPr>
          <w:rFonts w:eastAsia="仿宋_GB2312"/>
          <w:b/>
          <w:bCs/>
          <w:color w:val="auto"/>
          <w:sz w:val="24"/>
        </w:rPr>
        <w:t>岩(土)体主要物理力学参数地质建议值表</w:t>
      </w:r>
    </w:p>
    <w:tbl>
      <w:tblPr>
        <w:tblStyle w:val="46"/>
        <w:tblW w:w="98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54"/>
        <w:gridCol w:w="1108"/>
        <w:gridCol w:w="1026"/>
        <w:gridCol w:w="1002"/>
        <w:gridCol w:w="938"/>
        <w:gridCol w:w="895"/>
        <w:gridCol w:w="729"/>
        <w:gridCol w:w="742"/>
        <w:gridCol w:w="755"/>
        <w:gridCol w:w="771"/>
        <w:gridCol w:w="11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754" w:type="dxa"/>
            <w:vMerge w:val="restart"/>
            <w:vAlign w:val="center"/>
          </w:tcPr>
          <w:p>
            <w:pPr>
              <w:spacing w:line="360" w:lineRule="auto"/>
              <w:jc w:val="center"/>
              <w:rPr>
                <w:rFonts w:eastAsia="仿宋_GB2312"/>
                <w:color w:val="auto"/>
                <w:szCs w:val="21"/>
              </w:rPr>
            </w:pPr>
            <w:r>
              <w:rPr>
                <w:rFonts w:eastAsia="仿宋_GB2312"/>
                <w:color w:val="auto"/>
                <w:szCs w:val="21"/>
              </w:rPr>
              <w:t>层序</w:t>
            </w:r>
          </w:p>
        </w:tc>
        <w:tc>
          <w:tcPr>
            <w:tcW w:w="1108" w:type="dxa"/>
            <w:vMerge w:val="restart"/>
            <w:vAlign w:val="center"/>
          </w:tcPr>
          <w:p>
            <w:pPr>
              <w:spacing w:line="360" w:lineRule="auto"/>
              <w:jc w:val="center"/>
              <w:rPr>
                <w:rFonts w:eastAsia="仿宋_GB2312"/>
                <w:color w:val="auto"/>
                <w:szCs w:val="21"/>
              </w:rPr>
            </w:pPr>
            <w:r>
              <w:rPr>
                <w:rFonts w:eastAsia="仿宋_GB2312"/>
                <w:color w:val="auto"/>
                <w:szCs w:val="21"/>
              </w:rPr>
              <w:t>名称</w:t>
            </w:r>
          </w:p>
        </w:tc>
        <w:tc>
          <w:tcPr>
            <w:tcW w:w="1026" w:type="dxa"/>
            <w:vMerge w:val="restart"/>
            <w:vAlign w:val="center"/>
          </w:tcPr>
          <w:p>
            <w:pPr>
              <w:spacing w:line="360" w:lineRule="auto"/>
              <w:jc w:val="center"/>
              <w:rPr>
                <w:rFonts w:eastAsia="仿宋_GB2312"/>
                <w:color w:val="auto"/>
                <w:szCs w:val="21"/>
              </w:rPr>
            </w:pPr>
            <w:r>
              <w:rPr>
                <w:rFonts w:eastAsia="仿宋_GB2312"/>
                <w:color w:val="auto"/>
                <w:szCs w:val="21"/>
              </w:rPr>
              <w:t>天然</w:t>
            </w:r>
          </w:p>
          <w:p>
            <w:pPr>
              <w:spacing w:line="360" w:lineRule="auto"/>
              <w:jc w:val="center"/>
              <w:rPr>
                <w:rFonts w:eastAsia="仿宋_GB2312"/>
                <w:color w:val="auto"/>
                <w:szCs w:val="21"/>
              </w:rPr>
            </w:pPr>
            <w:r>
              <w:rPr>
                <w:rFonts w:eastAsia="仿宋_GB2312"/>
                <w:color w:val="auto"/>
                <w:szCs w:val="21"/>
              </w:rPr>
              <w:t>重度</w:t>
            </w:r>
          </w:p>
          <w:p>
            <w:pPr>
              <w:spacing w:line="360" w:lineRule="auto"/>
              <w:jc w:val="center"/>
              <w:rPr>
                <w:rFonts w:eastAsia="仿宋_GB2312"/>
                <w:color w:val="auto"/>
                <w:szCs w:val="21"/>
              </w:rPr>
            </w:pPr>
            <w:r>
              <w:rPr>
                <w:rFonts w:eastAsia="仿宋_GB2312"/>
                <w:color w:val="auto"/>
                <w:szCs w:val="21"/>
              </w:rPr>
              <w:t>(KN/cm3)</w:t>
            </w:r>
          </w:p>
        </w:tc>
        <w:tc>
          <w:tcPr>
            <w:tcW w:w="1002" w:type="dxa"/>
            <w:vMerge w:val="restart"/>
            <w:vAlign w:val="center"/>
          </w:tcPr>
          <w:p>
            <w:pPr>
              <w:spacing w:line="360" w:lineRule="auto"/>
              <w:jc w:val="center"/>
              <w:rPr>
                <w:rFonts w:eastAsia="仿宋_GB2312"/>
                <w:color w:val="auto"/>
                <w:szCs w:val="21"/>
              </w:rPr>
            </w:pPr>
            <w:r>
              <w:rPr>
                <w:rFonts w:eastAsia="仿宋_GB2312"/>
                <w:color w:val="auto"/>
                <w:szCs w:val="21"/>
              </w:rPr>
              <w:t>沉井外壁与土体间的单位摩阻力（kpa）</w:t>
            </w:r>
          </w:p>
        </w:tc>
        <w:tc>
          <w:tcPr>
            <w:tcW w:w="938" w:type="dxa"/>
            <w:vMerge w:val="restart"/>
            <w:vAlign w:val="center"/>
          </w:tcPr>
          <w:p>
            <w:pPr>
              <w:spacing w:line="360" w:lineRule="auto"/>
              <w:jc w:val="center"/>
              <w:rPr>
                <w:rFonts w:eastAsia="仿宋_GB2312"/>
                <w:color w:val="auto"/>
                <w:szCs w:val="21"/>
              </w:rPr>
            </w:pPr>
            <w:r>
              <w:rPr>
                <w:rFonts w:eastAsia="仿宋_GB2312"/>
                <w:color w:val="auto"/>
                <w:szCs w:val="21"/>
              </w:rPr>
              <w:t>水泥土搅拌桩极限侧阻力特征值qsi(kPa)</w:t>
            </w:r>
          </w:p>
        </w:tc>
        <w:tc>
          <w:tcPr>
            <w:tcW w:w="895" w:type="dxa"/>
            <w:vMerge w:val="restart"/>
            <w:vAlign w:val="center"/>
          </w:tcPr>
          <w:p>
            <w:pPr>
              <w:spacing w:line="360" w:lineRule="auto"/>
              <w:jc w:val="center"/>
              <w:rPr>
                <w:rFonts w:eastAsia="仿宋_GB2312"/>
                <w:color w:val="auto"/>
                <w:szCs w:val="21"/>
              </w:rPr>
            </w:pPr>
            <w:r>
              <w:rPr>
                <w:rFonts w:eastAsia="仿宋_GB2312"/>
                <w:color w:val="auto"/>
                <w:szCs w:val="21"/>
              </w:rPr>
              <w:t>压缩/变形模量Es/E0</w:t>
            </w:r>
          </w:p>
          <w:p>
            <w:pPr>
              <w:spacing w:line="360" w:lineRule="auto"/>
              <w:jc w:val="center"/>
              <w:rPr>
                <w:rFonts w:eastAsia="仿宋_GB2312"/>
                <w:color w:val="auto"/>
                <w:szCs w:val="21"/>
              </w:rPr>
            </w:pPr>
            <w:r>
              <w:rPr>
                <w:rFonts w:eastAsia="仿宋_GB2312"/>
                <w:color w:val="auto"/>
                <w:szCs w:val="21"/>
              </w:rPr>
              <w:t>(MPa)</w:t>
            </w:r>
          </w:p>
        </w:tc>
        <w:tc>
          <w:tcPr>
            <w:tcW w:w="729" w:type="dxa"/>
            <w:vMerge w:val="restart"/>
            <w:vAlign w:val="center"/>
          </w:tcPr>
          <w:p>
            <w:pPr>
              <w:spacing w:line="360" w:lineRule="auto"/>
              <w:jc w:val="center"/>
              <w:rPr>
                <w:rFonts w:eastAsia="仿宋_GB2312"/>
                <w:color w:val="auto"/>
                <w:szCs w:val="21"/>
              </w:rPr>
            </w:pPr>
            <w:r>
              <w:rPr>
                <w:rFonts w:eastAsia="仿宋_GB2312"/>
                <w:color w:val="auto"/>
                <w:szCs w:val="21"/>
              </w:rPr>
              <w:t>承载力特征值fa0</w:t>
            </w:r>
          </w:p>
          <w:p>
            <w:pPr>
              <w:spacing w:line="360" w:lineRule="auto"/>
              <w:jc w:val="center"/>
              <w:rPr>
                <w:rFonts w:eastAsia="仿宋_GB2312"/>
                <w:color w:val="auto"/>
                <w:szCs w:val="21"/>
              </w:rPr>
            </w:pPr>
            <w:r>
              <w:rPr>
                <w:rFonts w:eastAsia="仿宋_GB2312"/>
                <w:color w:val="auto"/>
                <w:szCs w:val="21"/>
              </w:rPr>
              <w:t>(kPa)</w:t>
            </w:r>
          </w:p>
        </w:tc>
        <w:tc>
          <w:tcPr>
            <w:tcW w:w="742" w:type="dxa"/>
            <w:vMerge w:val="restart"/>
            <w:vAlign w:val="center"/>
          </w:tcPr>
          <w:p>
            <w:pPr>
              <w:spacing w:line="360" w:lineRule="auto"/>
              <w:jc w:val="center"/>
              <w:rPr>
                <w:rFonts w:eastAsia="仿宋_GB2312"/>
                <w:color w:val="auto"/>
                <w:szCs w:val="21"/>
              </w:rPr>
            </w:pPr>
            <w:r>
              <w:rPr>
                <w:rFonts w:eastAsia="仿宋_GB2312"/>
                <w:color w:val="auto"/>
                <w:szCs w:val="21"/>
              </w:rPr>
              <w:t>基底摩擦系数</w:t>
            </w:r>
          </w:p>
          <w:p>
            <w:pPr>
              <w:spacing w:line="360" w:lineRule="auto"/>
              <w:jc w:val="center"/>
              <w:rPr>
                <w:rFonts w:eastAsia="仿宋_GB2312"/>
                <w:color w:val="auto"/>
                <w:szCs w:val="21"/>
              </w:rPr>
            </w:pPr>
            <w:r>
              <w:rPr>
                <w:rFonts w:eastAsia="仿宋_GB2312"/>
                <w:color w:val="auto"/>
                <w:szCs w:val="21"/>
              </w:rPr>
              <w:t>μ</w:t>
            </w:r>
          </w:p>
        </w:tc>
        <w:tc>
          <w:tcPr>
            <w:tcW w:w="1526" w:type="dxa"/>
            <w:gridSpan w:val="2"/>
            <w:vAlign w:val="center"/>
          </w:tcPr>
          <w:p>
            <w:pPr>
              <w:spacing w:line="360" w:lineRule="auto"/>
              <w:jc w:val="center"/>
              <w:rPr>
                <w:rFonts w:eastAsia="仿宋_GB2312"/>
                <w:color w:val="auto"/>
                <w:szCs w:val="21"/>
              </w:rPr>
            </w:pPr>
            <w:r>
              <w:rPr>
                <w:rFonts w:eastAsia="仿宋_GB2312"/>
                <w:color w:val="auto"/>
                <w:szCs w:val="21"/>
              </w:rPr>
              <w:t>抗剪强度</w:t>
            </w:r>
          </w:p>
        </w:tc>
        <w:tc>
          <w:tcPr>
            <w:tcW w:w="1134" w:type="dxa"/>
            <w:vMerge w:val="restart"/>
            <w:vAlign w:val="center"/>
          </w:tcPr>
          <w:p>
            <w:pPr>
              <w:spacing w:line="360" w:lineRule="auto"/>
              <w:jc w:val="center"/>
              <w:rPr>
                <w:rFonts w:eastAsia="仿宋_GB2312"/>
                <w:color w:val="auto"/>
                <w:szCs w:val="21"/>
              </w:rPr>
            </w:pPr>
            <w:r>
              <w:rPr>
                <w:rFonts w:eastAsia="仿宋_GB2312"/>
                <w:color w:val="auto"/>
                <w:szCs w:val="21"/>
              </w:rPr>
              <w:t>渗透</w:t>
            </w:r>
          </w:p>
          <w:p>
            <w:pPr>
              <w:spacing w:line="360" w:lineRule="auto"/>
              <w:jc w:val="center"/>
              <w:rPr>
                <w:rFonts w:eastAsia="仿宋_GB2312"/>
                <w:color w:val="auto"/>
                <w:szCs w:val="21"/>
              </w:rPr>
            </w:pPr>
            <w:r>
              <w:rPr>
                <w:rFonts w:eastAsia="仿宋_GB2312"/>
                <w:color w:val="auto"/>
                <w:szCs w:val="21"/>
              </w:rPr>
              <w:t>系数</w:t>
            </w:r>
          </w:p>
          <w:p>
            <w:pPr>
              <w:spacing w:line="360" w:lineRule="auto"/>
              <w:jc w:val="center"/>
              <w:rPr>
                <w:rFonts w:eastAsia="仿宋_GB2312"/>
                <w:color w:val="auto"/>
                <w:szCs w:val="21"/>
              </w:rPr>
            </w:pPr>
            <w:r>
              <w:rPr>
                <w:rFonts w:eastAsia="仿宋_GB2312"/>
                <w:color w:val="auto"/>
                <w:szCs w:val="21"/>
              </w:rPr>
              <w:t>(cm/s)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754" w:type="dxa"/>
            <w:vMerge w:val="continue"/>
          </w:tcPr>
          <w:p>
            <w:pPr>
              <w:spacing w:line="360" w:lineRule="auto"/>
              <w:jc w:val="center"/>
              <w:rPr>
                <w:rFonts w:eastAsia="仿宋_GB2312"/>
                <w:color w:val="auto"/>
                <w:szCs w:val="21"/>
              </w:rPr>
            </w:pPr>
          </w:p>
        </w:tc>
        <w:tc>
          <w:tcPr>
            <w:tcW w:w="1108" w:type="dxa"/>
            <w:vMerge w:val="continue"/>
            <w:vAlign w:val="center"/>
          </w:tcPr>
          <w:p>
            <w:pPr>
              <w:spacing w:line="360" w:lineRule="auto"/>
              <w:jc w:val="center"/>
              <w:rPr>
                <w:rFonts w:eastAsia="仿宋_GB2312"/>
                <w:color w:val="auto"/>
                <w:szCs w:val="21"/>
              </w:rPr>
            </w:pPr>
          </w:p>
        </w:tc>
        <w:tc>
          <w:tcPr>
            <w:tcW w:w="1026" w:type="dxa"/>
            <w:vMerge w:val="continue"/>
            <w:vAlign w:val="center"/>
          </w:tcPr>
          <w:p>
            <w:pPr>
              <w:spacing w:line="360" w:lineRule="auto"/>
              <w:jc w:val="center"/>
              <w:rPr>
                <w:rFonts w:eastAsia="仿宋_GB2312"/>
                <w:color w:val="auto"/>
                <w:szCs w:val="21"/>
              </w:rPr>
            </w:pPr>
          </w:p>
        </w:tc>
        <w:tc>
          <w:tcPr>
            <w:tcW w:w="1002" w:type="dxa"/>
            <w:vMerge w:val="continue"/>
            <w:vAlign w:val="center"/>
          </w:tcPr>
          <w:p>
            <w:pPr>
              <w:spacing w:line="360" w:lineRule="auto"/>
              <w:jc w:val="center"/>
              <w:rPr>
                <w:rFonts w:eastAsia="仿宋_GB2312"/>
                <w:color w:val="auto"/>
                <w:szCs w:val="21"/>
              </w:rPr>
            </w:pPr>
          </w:p>
        </w:tc>
        <w:tc>
          <w:tcPr>
            <w:tcW w:w="938" w:type="dxa"/>
            <w:vMerge w:val="continue"/>
            <w:vAlign w:val="center"/>
          </w:tcPr>
          <w:p>
            <w:pPr>
              <w:spacing w:line="360" w:lineRule="auto"/>
              <w:jc w:val="center"/>
              <w:rPr>
                <w:rFonts w:eastAsia="仿宋_GB2312"/>
                <w:color w:val="auto"/>
                <w:szCs w:val="21"/>
              </w:rPr>
            </w:pPr>
          </w:p>
        </w:tc>
        <w:tc>
          <w:tcPr>
            <w:tcW w:w="895" w:type="dxa"/>
            <w:vMerge w:val="continue"/>
            <w:vAlign w:val="center"/>
          </w:tcPr>
          <w:p>
            <w:pPr>
              <w:spacing w:line="360" w:lineRule="auto"/>
              <w:jc w:val="center"/>
              <w:rPr>
                <w:rFonts w:eastAsia="仿宋_GB2312"/>
                <w:color w:val="auto"/>
                <w:szCs w:val="21"/>
              </w:rPr>
            </w:pPr>
          </w:p>
        </w:tc>
        <w:tc>
          <w:tcPr>
            <w:tcW w:w="729" w:type="dxa"/>
            <w:vMerge w:val="continue"/>
            <w:vAlign w:val="center"/>
          </w:tcPr>
          <w:p>
            <w:pPr>
              <w:spacing w:line="360" w:lineRule="auto"/>
              <w:jc w:val="center"/>
              <w:rPr>
                <w:rFonts w:eastAsia="仿宋_GB2312"/>
                <w:color w:val="auto"/>
                <w:szCs w:val="21"/>
              </w:rPr>
            </w:pPr>
          </w:p>
        </w:tc>
        <w:tc>
          <w:tcPr>
            <w:tcW w:w="742" w:type="dxa"/>
            <w:vMerge w:val="continue"/>
            <w:vAlign w:val="center"/>
          </w:tcPr>
          <w:p>
            <w:pPr>
              <w:spacing w:line="360" w:lineRule="auto"/>
              <w:jc w:val="center"/>
              <w:rPr>
                <w:rFonts w:eastAsia="仿宋_GB2312"/>
                <w:color w:val="auto"/>
                <w:szCs w:val="21"/>
              </w:rPr>
            </w:pPr>
          </w:p>
        </w:tc>
        <w:tc>
          <w:tcPr>
            <w:tcW w:w="755" w:type="dxa"/>
            <w:vAlign w:val="center"/>
          </w:tcPr>
          <w:p>
            <w:pPr>
              <w:spacing w:line="360" w:lineRule="auto"/>
              <w:jc w:val="center"/>
              <w:textAlignment w:val="baseline"/>
              <w:rPr>
                <w:rFonts w:eastAsia="仿宋_GB2312"/>
                <w:color w:val="auto"/>
                <w:szCs w:val="21"/>
              </w:rPr>
            </w:pPr>
            <w:r>
              <w:rPr>
                <w:rFonts w:eastAsia="仿宋_GB2312"/>
                <w:color w:val="auto"/>
                <w:szCs w:val="21"/>
              </w:rPr>
              <w:t>C</w:t>
            </w:r>
          </w:p>
          <w:p>
            <w:pPr>
              <w:spacing w:line="360" w:lineRule="auto"/>
              <w:jc w:val="center"/>
              <w:textAlignment w:val="baseline"/>
              <w:rPr>
                <w:rFonts w:eastAsia="仿宋_GB2312"/>
                <w:color w:val="auto"/>
                <w:szCs w:val="21"/>
              </w:rPr>
            </w:pPr>
            <w:r>
              <w:rPr>
                <w:rFonts w:eastAsia="仿宋_GB2312"/>
                <w:color w:val="auto"/>
                <w:szCs w:val="21"/>
              </w:rPr>
              <w:t>(kPa)</w:t>
            </w:r>
          </w:p>
        </w:tc>
        <w:tc>
          <w:tcPr>
            <w:tcW w:w="771" w:type="dxa"/>
            <w:vAlign w:val="center"/>
          </w:tcPr>
          <w:p>
            <w:pPr>
              <w:spacing w:line="360" w:lineRule="auto"/>
              <w:jc w:val="center"/>
              <w:textAlignment w:val="baseline"/>
              <w:rPr>
                <w:rFonts w:eastAsia="仿宋_GB2312"/>
                <w:color w:val="auto"/>
                <w:szCs w:val="21"/>
              </w:rPr>
            </w:pPr>
            <w:r>
              <w:rPr>
                <w:rFonts w:eastAsia="仿宋_GB2312"/>
                <w:color w:val="auto"/>
                <w:szCs w:val="21"/>
              </w:rPr>
              <w:t>Ф</w:t>
            </w:r>
          </w:p>
          <w:p>
            <w:pPr>
              <w:spacing w:line="360" w:lineRule="auto"/>
              <w:jc w:val="center"/>
              <w:textAlignment w:val="baseline"/>
              <w:rPr>
                <w:rFonts w:eastAsia="仿宋_GB2312"/>
                <w:color w:val="auto"/>
                <w:szCs w:val="21"/>
              </w:rPr>
            </w:pPr>
            <w:r>
              <w:rPr>
                <w:rFonts w:eastAsia="仿宋_GB2312"/>
                <w:color w:val="auto"/>
                <w:szCs w:val="21"/>
              </w:rPr>
              <w:t>(°)</w:t>
            </w:r>
          </w:p>
        </w:tc>
        <w:tc>
          <w:tcPr>
            <w:tcW w:w="1134" w:type="dxa"/>
            <w:vMerge w:val="continue"/>
            <w:vAlign w:val="center"/>
          </w:tcPr>
          <w:p>
            <w:pPr>
              <w:spacing w:line="360" w:lineRule="auto"/>
              <w:jc w:val="center"/>
              <w:textAlignment w:val="baseline"/>
              <w:rPr>
                <w:rFonts w:eastAsia="仿宋_GB2312"/>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①</w:t>
            </w:r>
          </w:p>
        </w:tc>
        <w:tc>
          <w:tcPr>
            <w:tcW w:w="1108" w:type="dxa"/>
            <w:vAlign w:val="center"/>
          </w:tcPr>
          <w:p>
            <w:pPr>
              <w:spacing w:line="360" w:lineRule="auto"/>
              <w:jc w:val="center"/>
              <w:rPr>
                <w:rFonts w:eastAsia="仿宋_GB2312"/>
                <w:color w:val="auto"/>
                <w:szCs w:val="21"/>
              </w:rPr>
            </w:pPr>
            <w:r>
              <w:rPr>
                <w:rFonts w:eastAsia="仿宋_GB2312"/>
                <w:color w:val="auto"/>
                <w:szCs w:val="21"/>
              </w:rPr>
              <w:t>杂填土</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18.5*</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10</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8</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4.2*</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0.25</w:t>
            </w:r>
          </w:p>
        </w:tc>
        <w:tc>
          <w:tcPr>
            <w:tcW w:w="755" w:type="dxa"/>
            <w:vAlign w:val="center"/>
          </w:tcPr>
          <w:p>
            <w:pPr>
              <w:adjustRightInd w:val="0"/>
              <w:spacing w:line="360" w:lineRule="auto"/>
              <w:jc w:val="center"/>
              <w:rPr>
                <w:rFonts w:eastAsia="仿宋_GB2312"/>
                <w:color w:val="auto"/>
                <w:szCs w:val="21"/>
              </w:rPr>
            </w:pPr>
            <w:r>
              <w:rPr>
                <w:rFonts w:eastAsia="仿宋_GB2312"/>
                <w:color w:val="auto"/>
                <w:szCs w:val="21"/>
              </w:rPr>
              <w:t>5.0*</w:t>
            </w:r>
          </w:p>
        </w:tc>
        <w:tc>
          <w:tcPr>
            <w:tcW w:w="771" w:type="dxa"/>
            <w:vAlign w:val="center"/>
          </w:tcPr>
          <w:p>
            <w:pPr>
              <w:adjustRightInd w:val="0"/>
              <w:spacing w:line="360" w:lineRule="auto"/>
              <w:jc w:val="center"/>
              <w:rPr>
                <w:rFonts w:eastAsia="仿宋_GB2312"/>
                <w:color w:val="auto"/>
                <w:szCs w:val="21"/>
              </w:rPr>
            </w:pPr>
            <w:r>
              <w:rPr>
                <w:rFonts w:eastAsia="仿宋_GB2312"/>
                <w:color w:val="auto"/>
                <w:szCs w:val="21"/>
              </w:rPr>
              <w:t>10.0*</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3.0E-03*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②</w:t>
            </w:r>
          </w:p>
        </w:tc>
        <w:tc>
          <w:tcPr>
            <w:tcW w:w="1108" w:type="dxa"/>
            <w:vAlign w:val="center"/>
          </w:tcPr>
          <w:p>
            <w:pPr>
              <w:spacing w:line="360" w:lineRule="auto"/>
              <w:jc w:val="center"/>
              <w:rPr>
                <w:rFonts w:eastAsia="仿宋_GB2312"/>
                <w:color w:val="auto"/>
                <w:szCs w:val="21"/>
              </w:rPr>
            </w:pPr>
            <w:r>
              <w:rPr>
                <w:rFonts w:eastAsia="仿宋_GB2312"/>
                <w:color w:val="auto"/>
                <w:szCs w:val="21"/>
              </w:rPr>
              <w:t>粉质粘土</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18.6</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16</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12</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5.0</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120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0.20</w:t>
            </w:r>
          </w:p>
        </w:tc>
        <w:tc>
          <w:tcPr>
            <w:tcW w:w="755" w:type="dxa"/>
            <w:vAlign w:val="center"/>
          </w:tcPr>
          <w:p>
            <w:pPr>
              <w:adjustRightInd w:val="0"/>
              <w:spacing w:line="360" w:lineRule="auto"/>
              <w:jc w:val="center"/>
              <w:rPr>
                <w:rFonts w:eastAsia="仿宋_GB2312"/>
                <w:color w:val="auto"/>
                <w:szCs w:val="21"/>
              </w:rPr>
            </w:pPr>
            <w:r>
              <w:rPr>
                <w:rFonts w:eastAsia="仿宋_GB2312"/>
                <w:color w:val="auto"/>
                <w:szCs w:val="21"/>
              </w:rPr>
              <w:t>10.0</w:t>
            </w:r>
          </w:p>
        </w:tc>
        <w:tc>
          <w:tcPr>
            <w:tcW w:w="771" w:type="dxa"/>
            <w:vAlign w:val="center"/>
          </w:tcPr>
          <w:p>
            <w:pPr>
              <w:adjustRightInd w:val="0"/>
              <w:spacing w:line="360" w:lineRule="auto"/>
              <w:jc w:val="center"/>
              <w:rPr>
                <w:rFonts w:eastAsia="仿宋_GB2312"/>
                <w:color w:val="auto"/>
                <w:szCs w:val="21"/>
              </w:rPr>
            </w:pPr>
            <w:r>
              <w:rPr>
                <w:rFonts w:eastAsia="仿宋_GB2312"/>
                <w:color w:val="auto"/>
                <w:szCs w:val="21"/>
              </w:rPr>
              <w:t>10.0</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1.0E-05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③</w:t>
            </w:r>
          </w:p>
        </w:tc>
        <w:tc>
          <w:tcPr>
            <w:tcW w:w="1108" w:type="dxa"/>
            <w:vAlign w:val="center"/>
          </w:tcPr>
          <w:p>
            <w:pPr>
              <w:spacing w:line="360" w:lineRule="auto"/>
              <w:jc w:val="center"/>
              <w:rPr>
                <w:rFonts w:eastAsia="仿宋_GB2312"/>
                <w:color w:val="auto"/>
                <w:szCs w:val="21"/>
              </w:rPr>
            </w:pPr>
            <w:r>
              <w:rPr>
                <w:rFonts w:eastAsia="仿宋_GB2312"/>
                <w:color w:val="auto"/>
                <w:szCs w:val="21"/>
              </w:rPr>
              <w:t>粉质粘土</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19.50</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25</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20</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9.0</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220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0.25</w:t>
            </w:r>
          </w:p>
        </w:tc>
        <w:tc>
          <w:tcPr>
            <w:tcW w:w="755" w:type="dxa"/>
            <w:vAlign w:val="center"/>
          </w:tcPr>
          <w:p>
            <w:pPr>
              <w:adjustRightInd w:val="0"/>
              <w:spacing w:line="360" w:lineRule="auto"/>
              <w:jc w:val="center"/>
              <w:rPr>
                <w:rFonts w:eastAsia="仿宋_GB2312"/>
                <w:color w:val="auto"/>
                <w:szCs w:val="21"/>
              </w:rPr>
            </w:pPr>
            <w:r>
              <w:rPr>
                <w:rFonts w:eastAsia="仿宋_GB2312"/>
                <w:color w:val="auto"/>
                <w:szCs w:val="21"/>
              </w:rPr>
              <w:t>45.0</w:t>
            </w:r>
          </w:p>
        </w:tc>
        <w:tc>
          <w:tcPr>
            <w:tcW w:w="771" w:type="dxa"/>
            <w:vAlign w:val="center"/>
          </w:tcPr>
          <w:p>
            <w:pPr>
              <w:adjustRightInd w:val="0"/>
              <w:spacing w:line="360" w:lineRule="auto"/>
              <w:jc w:val="center"/>
              <w:rPr>
                <w:rFonts w:eastAsia="仿宋_GB2312"/>
                <w:color w:val="auto"/>
                <w:szCs w:val="21"/>
              </w:rPr>
            </w:pPr>
            <w:r>
              <w:rPr>
                <w:rFonts w:eastAsia="仿宋_GB2312"/>
                <w:color w:val="auto"/>
                <w:szCs w:val="21"/>
              </w:rPr>
              <w:t>15.0</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5.0E-06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④</w:t>
            </w:r>
          </w:p>
        </w:tc>
        <w:tc>
          <w:tcPr>
            <w:tcW w:w="1108" w:type="dxa"/>
            <w:vAlign w:val="center"/>
          </w:tcPr>
          <w:p>
            <w:pPr>
              <w:spacing w:line="360" w:lineRule="auto"/>
              <w:jc w:val="center"/>
              <w:rPr>
                <w:rFonts w:eastAsia="仿宋_GB2312"/>
                <w:color w:val="auto"/>
                <w:szCs w:val="21"/>
              </w:rPr>
            </w:pPr>
            <w:r>
              <w:rPr>
                <w:rFonts w:eastAsia="仿宋_GB2312"/>
                <w:color w:val="auto"/>
                <w:szCs w:val="21"/>
              </w:rPr>
              <w:t>粉砂夹粉土</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20.0*</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16</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12</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10.0*</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120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0.25</w:t>
            </w:r>
          </w:p>
        </w:tc>
        <w:tc>
          <w:tcPr>
            <w:tcW w:w="755" w:type="dxa"/>
            <w:vAlign w:val="center"/>
          </w:tcPr>
          <w:p>
            <w:pPr>
              <w:adjustRightInd w:val="0"/>
              <w:spacing w:line="360" w:lineRule="auto"/>
              <w:jc w:val="center"/>
              <w:rPr>
                <w:rFonts w:eastAsia="仿宋_GB2312"/>
                <w:color w:val="auto"/>
                <w:szCs w:val="21"/>
              </w:rPr>
            </w:pPr>
            <w:r>
              <w:rPr>
                <w:rFonts w:eastAsia="仿宋_GB2312"/>
                <w:color w:val="auto"/>
                <w:szCs w:val="21"/>
              </w:rPr>
              <w:t>0.0*</w:t>
            </w:r>
          </w:p>
        </w:tc>
        <w:tc>
          <w:tcPr>
            <w:tcW w:w="771" w:type="dxa"/>
            <w:vAlign w:val="center"/>
          </w:tcPr>
          <w:p>
            <w:pPr>
              <w:adjustRightInd w:val="0"/>
              <w:spacing w:line="360" w:lineRule="auto"/>
              <w:jc w:val="center"/>
              <w:rPr>
                <w:rFonts w:eastAsia="仿宋_GB2312"/>
                <w:color w:val="auto"/>
                <w:szCs w:val="21"/>
              </w:rPr>
            </w:pPr>
            <w:r>
              <w:rPr>
                <w:rFonts w:eastAsia="仿宋_GB2312"/>
                <w:color w:val="auto"/>
                <w:szCs w:val="21"/>
              </w:rPr>
              <w:t>20.0*</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7.50E-04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⑤</w:t>
            </w:r>
          </w:p>
        </w:tc>
        <w:tc>
          <w:tcPr>
            <w:tcW w:w="1108" w:type="dxa"/>
            <w:vAlign w:val="center"/>
          </w:tcPr>
          <w:p>
            <w:pPr>
              <w:spacing w:line="360" w:lineRule="auto"/>
              <w:jc w:val="center"/>
              <w:rPr>
                <w:rFonts w:eastAsia="仿宋_GB2312"/>
                <w:color w:val="auto"/>
                <w:szCs w:val="21"/>
              </w:rPr>
            </w:pPr>
            <w:r>
              <w:rPr>
                <w:rFonts w:eastAsia="仿宋_GB2312"/>
                <w:color w:val="auto"/>
                <w:szCs w:val="21"/>
              </w:rPr>
              <w:t>粉土</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18.9</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16</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12</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9.0</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130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0.25</w:t>
            </w:r>
          </w:p>
        </w:tc>
        <w:tc>
          <w:tcPr>
            <w:tcW w:w="755" w:type="dxa"/>
            <w:vAlign w:val="center"/>
          </w:tcPr>
          <w:p>
            <w:pPr>
              <w:spacing w:line="360" w:lineRule="auto"/>
              <w:jc w:val="center"/>
              <w:rPr>
                <w:rFonts w:eastAsia="仿宋_GB2312"/>
                <w:color w:val="auto"/>
                <w:szCs w:val="21"/>
              </w:rPr>
            </w:pPr>
            <w:r>
              <w:rPr>
                <w:rFonts w:eastAsia="仿宋_GB2312"/>
                <w:color w:val="auto"/>
                <w:szCs w:val="21"/>
              </w:rPr>
              <w:t>25.5</w:t>
            </w:r>
          </w:p>
        </w:tc>
        <w:tc>
          <w:tcPr>
            <w:tcW w:w="771" w:type="dxa"/>
            <w:vAlign w:val="center"/>
          </w:tcPr>
          <w:p>
            <w:pPr>
              <w:spacing w:line="360" w:lineRule="auto"/>
              <w:jc w:val="center"/>
              <w:rPr>
                <w:rFonts w:eastAsia="仿宋_GB2312"/>
                <w:color w:val="auto"/>
                <w:szCs w:val="21"/>
              </w:rPr>
            </w:pPr>
            <w:r>
              <w:rPr>
                <w:rFonts w:eastAsia="仿宋_GB2312"/>
                <w:color w:val="auto"/>
                <w:szCs w:val="21"/>
              </w:rPr>
              <w:t>16.1</w:t>
            </w:r>
          </w:p>
        </w:tc>
        <w:tc>
          <w:tcPr>
            <w:tcW w:w="1134" w:type="dxa"/>
            <w:vAlign w:val="center"/>
          </w:tcPr>
          <w:p>
            <w:pPr>
              <w:spacing w:line="360" w:lineRule="auto"/>
              <w:jc w:val="center"/>
              <w:rPr>
                <w:rFonts w:eastAsia="仿宋_GB2312"/>
                <w:color w:val="auto"/>
                <w:szCs w:val="21"/>
              </w:rPr>
            </w:pPr>
            <w:r>
              <w:rPr>
                <w:rFonts w:eastAsia="仿宋_GB2312"/>
                <w:color w:val="auto"/>
                <w:szCs w:val="21"/>
              </w:rPr>
              <w:t>2.50E-04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⑥</w:t>
            </w:r>
          </w:p>
        </w:tc>
        <w:tc>
          <w:tcPr>
            <w:tcW w:w="1108" w:type="dxa"/>
            <w:vAlign w:val="center"/>
          </w:tcPr>
          <w:p>
            <w:pPr>
              <w:spacing w:line="360" w:lineRule="auto"/>
              <w:jc w:val="center"/>
              <w:rPr>
                <w:rFonts w:eastAsia="仿宋_GB2312"/>
                <w:color w:val="auto"/>
                <w:szCs w:val="21"/>
              </w:rPr>
            </w:pPr>
            <w:r>
              <w:rPr>
                <w:rFonts w:eastAsia="仿宋_GB2312"/>
                <w:color w:val="auto"/>
                <w:szCs w:val="21"/>
              </w:rPr>
              <w:t>强风化泥质粉砂岩</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20.0</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350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0.50</w:t>
            </w:r>
          </w:p>
        </w:tc>
        <w:tc>
          <w:tcPr>
            <w:tcW w:w="755" w:type="dxa"/>
            <w:vAlign w:val="center"/>
          </w:tcPr>
          <w:p>
            <w:pPr>
              <w:spacing w:line="360" w:lineRule="auto"/>
              <w:jc w:val="center"/>
              <w:rPr>
                <w:rFonts w:eastAsia="仿宋_GB2312"/>
                <w:color w:val="auto"/>
                <w:szCs w:val="21"/>
              </w:rPr>
            </w:pPr>
            <w:r>
              <w:rPr>
                <w:rFonts w:eastAsia="仿宋_GB2312"/>
                <w:color w:val="auto"/>
                <w:szCs w:val="21"/>
              </w:rPr>
              <w:t>80.0*</w:t>
            </w:r>
          </w:p>
        </w:tc>
        <w:tc>
          <w:tcPr>
            <w:tcW w:w="771" w:type="dxa"/>
            <w:vAlign w:val="center"/>
          </w:tcPr>
          <w:p>
            <w:pPr>
              <w:spacing w:line="360" w:lineRule="auto"/>
              <w:jc w:val="center"/>
              <w:rPr>
                <w:rFonts w:eastAsia="仿宋_GB2312"/>
                <w:color w:val="auto"/>
                <w:szCs w:val="21"/>
              </w:rPr>
            </w:pPr>
            <w:r>
              <w:rPr>
                <w:rFonts w:eastAsia="仿宋_GB2312"/>
                <w:color w:val="auto"/>
                <w:szCs w:val="21"/>
              </w:rPr>
              <w:t>21.0*</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1.0E-05*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54" w:type="dxa"/>
            <w:vAlign w:val="center"/>
          </w:tcPr>
          <w:p>
            <w:pPr>
              <w:spacing w:line="360" w:lineRule="auto"/>
              <w:jc w:val="center"/>
              <w:rPr>
                <w:rFonts w:eastAsia="仿宋_GB2312"/>
                <w:color w:val="auto"/>
                <w:szCs w:val="21"/>
              </w:rPr>
            </w:pPr>
            <w:r>
              <w:rPr>
                <w:rFonts w:hint="eastAsia" w:ascii="宋体" w:hAnsi="宋体" w:cs="宋体"/>
                <w:color w:val="auto"/>
                <w:szCs w:val="21"/>
              </w:rPr>
              <w:t>⑦</w:t>
            </w:r>
          </w:p>
        </w:tc>
        <w:tc>
          <w:tcPr>
            <w:tcW w:w="1108" w:type="dxa"/>
            <w:vAlign w:val="center"/>
          </w:tcPr>
          <w:p>
            <w:pPr>
              <w:spacing w:line="360" w:lineRule="auto"/>
              <w:jc w:val="center"/>
              <w:rPr>
                <w:rFonts w:eastAsia="仿宋_GB2312"/>
                <w:color w:val="auto"/>
                <w:szCs w:val="21"/>
              </w:rPr>
            </w:pPr>
            <w:r>
              <w:rPr>
                <w:rFonts w:eastAsia="仿宋_GB2312"/>
                <w:color w:val="auto"/>
                <w:szCs w:val="21"/>
              </w:rPr>
              <w:t>中风化泥质粉砂岩</w:t>
            </w:r>
          </w:p>
        </w:tc>
        <w:tc>
          <w:tcPr>
            <w:tcW w:w="1026" w:type="dxa"/>
            <w:vAlign w:val="center"/>
          </w:tcPr>
          <w:p>
            <w:pPr>
              <w:adjustRightInd w:val="0"/>
              <w:spacing w:line="360" w:lineRule="auto"/>
              <w:jc w:val="center"/>
              <w:rPr>
                <w:rFonts w:eastAsia="仿宋_GB2312"/>
                <w:color w:val="auto"/>
                <w:szCs w:val="21"/>
              </w:rPr>
            </w:pPr>
            <w:r>
              <w:rPr>
                <w:rFonts w:eastAsia="仿宋_GB2312"/>
                <w:color w:val="auto"/>
                <w:szCs w:val="21"/>
              </w:rPr>
              <w:t>21.0</w:t>
            </w:r>
          </w:p>
        </w:tc>
        <w:tc>
          <w:tcPr>
            <w:tcW w:w="1002"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938"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895" w:type="dxa"/>
            <w:vAlign w:val="center"/>
          </w:tcPr>
          <w:p>
            <w:pPr>
              <w:adjustRightInd w:val="0"/>
              <w:spacing w:line="360" w:lineRule="auto"/>
              <w:jc w:val="center"/>
              <w:rPr>
                <w:rFonts w:eastAsia="仿宋_GB2312"/>
                <w:color w:val="auto"/>
                <w:szCs w:val="21"/>
              </w:rPr>
            </w:pPr>
            <w:r>
              <w:rPr>
                <w:rFonts w:eastAsia="仿宋_GB2312"/>
                <w:color w:val="auto"/>
                <w:szCs w:val="21"/>
              </w:rPr>
              <w:t>－</w:t>
            </w:r>
          </w:p>
        </w:tc>
        <w:tc>
          <w:tcPr>
            <w:tcW w:w="729" w:type="dxa"/>
            <w:vAlign w:val="center"/>
          </w:tcPr>
          <w:p>
            <w:pPr>
              <w:adjustRightInd w:val="0"/>
              <w:spacing w:line="360" w:lineRule="auto"/>
              <w:jc w:val="center"/>
              <w:rPr>
                <w:rFonts w:eastAsia="仿宋_GB2312"/>
                <w:color w:val="auto"/>
                <w:szCs w:val="21"/>
              </w:rPr>
            </w:pPr>
            <w:r>
              <w:rPr>
                <w:rFonts w:eastAsia="仿宋_GB2312"/>
                <w:color w:val="auto"/>
                <w:szCs w:val="21"/>
              </w:rPr>
              <w:t>1100</w:t>
            </w:r>
          </w:p>
        </w:tc>
        <w:tc>
          <w:tcPr>
            <w:tcW w:w="742" w:type="dxa"/>
            <w:vAlign w:val="center"/>
          </w:tcPr>
          <w:p>
            <w:pPr>
              <w:wordWrap w:val="0"/>
              <w:spacing w:line="360" w:lineRule="auto"/>
              <w:jc w:val="center"/>
              <w:rPr>
                <w:rFonts w:eastAsia="仿宋_GB2312"/>
                <w:color w:val="auto"/>
                <w:szCs w:val="21"/>
              </w:rPr>
            </w:pPr>
            <w:r>
              <w:rPr>
                <w:rFonts w:eastAsia="仿宋_GB2312"/>
                <w:color w:val="auto"/>
                <w:szCs w:val="21"/>
              </w:rPr>
              <w:t>－</w:t>
            </w:r>
          </w:p>
        </w:tc>
        <w:tc>
          <w:tcPr>
            <w:tcW w:w="755" w:type="dxa"/>
            <w:vAlign w:val="center"/>
          </w:tcPr>
          <w:p>
            <w:pPr>
              <w:spacing w:line="360" w:lineRule="auto"/>
              <w:jc w:val="center"/>
              <w:rPr>
                <w:rFonts w:eastAsia="仿宋_GB2312"/>
                <w:color w:val="auto"/>
                <w:szCs w:val="21"/>
              </w:rPr>
            </w:pPr>
            <w:r>
              <w:rPr>
                <w:rFonts w:eastAsia="仿宋_GB2312"/>
                <w:color w:val="auto"/>
                <w:szCs w:val="21"/>
              </w:rPr>
              <w:t>－</w:t>
            </w:r>
          </w:p>
        </w:tc>
        <w:tc>
          <w:tcPr>
            <w:tcW w:w="771" w:type="dxa"/>
            <w:vAlign w:val="center"/>
          </w:tcPr>
          <w:p>
            <w:pPr>
              <w:spacing w:line="360" w:lineRule="auto"/>
              <w:jc w:val="center"/>
              <w:rPr>
                <w:rFonts w:eastAsia="仿宋_GB2312"/>
                <w:color w:val="auto"/>
                <w:szCs w:val="21"/>
              </w:rPr>
            </w:pPr>
            <w:r>
              <w:rPr>
                <w:rFonts w:eastAsia="仿宋_GB2312"/>
                <w:color w:val="auto"/>
                <w:szCs w:val="21"/>
              </w:rPr>
              <w:t>－</w:t>
            </w:r>
          </w:p>
        </w:tc>
        <w:tc>
          <w:tcPr>
            <w:tcW w:w="1134" w:type="dxa"/>
            <w:vAlign w:val="center"/>
          </w:tcPr>
          <w:p>
            <w:pPr>
              <w:adjustRightInd w:val="0"/>
              <w:spacing w:line="360" w:lineRule="auto"/>
              <w:jc w:val="center"/>
              <w:rPr>
                <w:rFonts w:eastAsia="仿宋_GB2312"/>
                <w:color w:val="auto"/>
                <w:szCs w:val="21"/>
              </w:rPr>
            </w:pPr>
            <w:r>
              <w:rPr>
                <w:rFonts w:eastAsia="仿宋_GB2312"/>
                <w:color w:val="auto"/>
                <w:szCs w:val="21"/>
              </w:rPr>
              <w:t>－</w:t>
            </w:r>
          </w:p>
        </w:tc>
      </w:tr>
    </w:tbl>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注：*经验值</w:t>
      </w:r>
    </w:p>
    <w:p>
      <w:pPr>
        <w:pStyle w:val="295"/>
        <w:rPr>
          <w:color w:val="auto"/>
        </w:rPr>
      </w:pPr>
      <w:r>
        <w:rPr>
          <w:color w:val="auto"/>
        </w:rPr>
        <w:t>5.4工程材料</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1）混凝士：结构采用C30自防水混凝土，抗渗标号P6(埋深大于10米采用P8)，垫层采用C15素混凝土，池内填充素混凝土采用C20。附属构筑物（检查井、管线工井、预留井等）采用C30混凝土，抗渗等级为P6。</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混凝土结构耐久性的基本要求：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（1）水泥：采用普通硅酸盐水泥(不低于42.5)，最小水泥用量320kg/m3，最大水胶比为0.45。</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（2）用于防水混凝土的砂、石应符合现行国家标准《普通混凝土用砂、石质量及检验方法标准》JGJ 52的规定。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（3）防水混凝土中的各类材料的氯离子含量不应超过胶凝材料总量的0.06%，应采用非碱活性骨料。</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砼中应掺入抗硫酸盐外加剂、钢筋阻锈剂、矿物掺和料等，并经试验其性能满足抗腐蚀性拟性要求或采用抗硫酸盐水泥。地面以下所有防水混凝土建议采用防腐蚀阻锈抗裂防水剂，所配制补偿收缩混凝土必须满足GB23439-2009《混凝土膨胀剂》、JC/474-2008《砂浆、混凝土防水剂)、JC/T1011一2006《混凝土抗硫酸盐类侵蚀防腐剂》、YB/T9231—2009《钢筋阻锈剂应用技术规程》要求。根据限制膨涨率和限制干缩率取值，按照GB50119一2013《混凝土外加剂应用技术规范》，(JGJ/T178-2009)《补偿收缩混凝土技术规范》进行配合比设计，其中配制的补偿收缩混杜中采用的防腐蚀抗裂防水剂的建议掺量为8%一10%，具体掺量应与材料厂家联系确定配合比掺量，并报设计院认可方可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（5）本工程不得采用氯盐作为防冻、早强的掺和料。</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（6）用于拌制混凝土的水，应符合现行国家标准《混凝土用水标准》JGJ 63-2006的有关规定。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为减少混凝土施工期间和使用阶段的收缩应力和温度应力，调高混凝土的抗渗性和减少混凝土收缩裂缝，使混凝土符合抗裂、防渗的要求，主体结构建议掺入高强高模纤维，选用的纤维对钢筋和混凝土的耐久性及强度均应无不良影响，混凝土的外加剂使用应符合《混凝土外加剂应用技术规范》（GB50119-2003）的规定。外加剂提供方应提供详细的实验数据，实验数据必须符合国家级当地对外加剂的要求。供应方还应提供详细的施工方案和施工要求，保证外加剂的正确使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钢筋：A表示HPB300级钢筋，C表示HRB400级钢筋，纵向受力钢筋采用普通钢筋时，钢筋的抗拉强度实测值与屈服强度实测值的比值不应小于1.25，钢筋的屈服强度实测值与强度标准值的比值不应大于1.30，且钢筋在最大拉力下的总伸长率实测值不应小于9%。钢筋的强度标准值应具有不小于95%的保证率。</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吊筋钩：采用HPB300钢筋，且不得采用冷加工钢筋。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3）型钢与钢板采用Q235B级钢。</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4）焊条：采用E43型焊条焊接HPB300钢筋、Q235B钢板、钢管；采用E50型焊条焊接HRB400钢筋。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5）砌体(防火墙)：采用M7.5水泥砂浆，200厚的加气混凝土砌块墙，砌块强度不下于MU10.0。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6）全部材料应具备出厂合格证及材料试验部门出具的合格证明方可使用。</w:t>
      </w:r>
    </w:p>
    <w:p>
      <w:pPr>
        <w:pStyle w:val="295"/>
        <w:rPr>
          <w:color w:val="auto"/>
        </w:rPr>
      </w:pPr>
      <w:r>
        <w:rPr>
          <w:color w:val="auto"/>
        </w:rPr>
        <w:t>5.5结构统一规定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未注明钢筋的最小锚固长度为：HPB300级钢32d，HRB400级钢37d，d为钢筋直径，受力钢筋宜采用自动对焊机对焊接长(焊口需经检验合格)。HRB400级钢筋接头均需采用焊接搭接，在任一搭接截面(焊接为35d，冷驳为45d，且不于500mm)范围内只允许最大50%钢筋接驳。</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2）钢筋的混凝土保护层厚度：顶板外侧(与土接触)、壁板外侧、底板外侧：50mm；顶板内侧、壁板内侧、中板、底板内侧：40mm；梁35mm；柱：35mm；屋面板：30mm。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3）孔洞口加固：</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当洞口尺寸：bXh≤300X300mm或φ≤300时，该洞口不必加固，但钢筋应绕过孔洞不得截断；</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当洞口尺寸：bXh&gt;300X300mm或φ&gt;300时，该洞口必须加固；加固做法见各结构详图。</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4）本工程梁板柱结构表示方法按国家建筑标难图集《混凝土结构施工图平面整体表示方法制图规则和构造详图》16G101-1绘制。</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5）防水措施：在施工缝变形缝处，按规范要求设置中埋式钢边橡胶止水带。</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6）钢构件：钢材表面涂附锌防锈漆一道及面漆两道。</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7）当板跨≥4米时，按0.3%起拱。</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8）砌体填充墙与钢筋混凝土墙的连接构造参照与钢筋混凝土柱的链接构造，后砌隔墙的拉结详见02G01-1-70。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9）填充墙高度大于4.0米时，在墙高中间位置或洞口顶部设置圈梁：b×h=墙厚×120mm，配筋为4A10，A6@200，纵筋锚入两端混凝土结构中。</w:t>
      </w:r>
    </w:p>
    <w:p>
      <w:pPr>
        <w:pStyle w:val="295"/>
        <w:rPr>
          <w:color w:val="auto"/>
        </w:rPr>
      </w:pPr>
      <w:r>
        <w:rPr>
          <w:color w:val="auto"/>
        </w:rPr>
        <w:t>5.6  施工缝和变形缝</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1）壁板与顶、底板交接处不允许设置垂直施工缝，壁板水平施工缝宜设置在底板腋角面以上300mm或顶板腋角以下300mm处，施工缝采用中埋式钢板止水带防水措施防护。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2）施工缝应按图施工设置，除设计要求的施工缝外，不得以施工理由擅自增设施工缝。</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3）水平施工缝灌混凝土前，应将其表面浆液和杂物清除并高压水冲刷干净，先铺净浆，再铺30~50mm厚的1:1水泥砂浆或涂刷混凝土界处理剂，并及时浇灌混凝土，止水带埋设位置应准确，妥善固定。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4）底板及顶板施工应一次连续浇筑，不得留有施工缝，并应随打随抹，保证表面平整。</w:t>
      </w:r>
    </w:p>
    <w:p>
      <w:pPr>
        <w:pStyle w:val="295"/>
        <w:rPr>
          <w:color w:val="auto"/>
        </w:rPr>
      </w:pPr>
      <w:r>
        <w:rPr>
          <w:color w:val="auto"/>
        </w:rPr>
        <w:t>5.7  施工及验收注意事项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1）基坑内的杂物、积水必须清除于净，必要时地膜应找坡并设集水井抽升排水。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模板要求拼缝严密，保证不漏浆，凹凸面必须符合要求.水平支撑不得贯穿结构构件，如用穿墙螺栓拉结模板，必须采用焊接钢板妹环(50x50x5)，钢板与螺栓必须满焊，混凝土面做30x30x25凹面.拆模后切除螺栓，清理干净，涂双组分聚硫密封膏，用1:2防水水泥砂浆抹平.对拉螺栓的布置必须均匀整齐，要满足模板刚度要求和混凝土外观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3）所有的施工误差均应符合国家的施工验收标准、工艺要求和有关设备技术标准和安装要求.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4）土建施工时应与建筑、水、暖、电等各相关专业图纸对照，所有预留洞、预埋件等均应事先留埋好。其标高、中心轴线偏差要求在5mm内。</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5）浇筑后4~6小时应开始淋水养护，养护时间不少于14个昼夜。</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6）施工期问应防止太阳暴硒，必要时采取临时遮盖措施.可储水的地下构筑物应注水养护。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7）按要求需要做注水试验，注水试验后应从速进行防水层的施工。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8）壁板和顶板的混凝土表面应及时采用黏性薄膜或喷涂型养护膜覆盖进行保湿养护。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9）设备基础及与设备相关的预埋件等应待设备招标确定后，核对无误.方可施工。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10）施工期间应采取有效的降水排水措施。</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11）本工程设计未考虑冬季施工。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12）防水工程的施工及验收应按现行国家标准《地下防水工程质量验收规范》GB50208的相规定执行。</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13）基坑两侧回填应对称、分层、均匀，顶板上部1000mm范围内回填土应采用人工分层夯实，大型碾压机不得直接在顶板上部施工。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14）基坑回填应在结构及防水工程验收合格后进行.回填土不得采用耕土、冻胀土及含盆渍土，回填土应分层压实，分层厚度不大于300mm.压实系数不小于0.92，并应满足国家现行标准的有关规定。</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15）工程验收应遵照下列规范执行：</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《建筑地基基础工程施工质量验收规范》 GB50202-2002</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《建筑工程施工质量验收统一标准》GB50300-2015</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《混凝土结构工程施工质量验收规范》GB50204-2013</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《砌体工程施工质量验收规范》GB50203-2011</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《给水排水构筑物工程施工及验收规范》GB50141-2008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《地下防水工程质量验收规范》GB50208-2011</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《给水排水管道工程施工及验收规范》GB50268-2008</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16）对项目沿线邻近的各类建筑物或构造物，应考虑施工期间保证其安全正常使用的必要措施。 施工时应注意对环境的保护，防止水土流失，避免对周围环境的污染。</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17）不得在大风大雨天气施工，以确保混凝土的质量及施工安全。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18）混凝土外露面均应保证无蜂窝、麻面、收缩裂缝，整个表面混凝土应色调保持一致，表面应光洁无油污。</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19）支架工程：须保证施工搭设的支架的稳定性，采取预压等措施，并应保证其变形在规范容许范围内。</w:t>
      </w:r>
    </w:p>
    <w:p>
      <w:pPr>
        <w:autoSpaceDE w:val="0"/>
        <w:autoSpaceDN w:val="0"/>
        <w:adjustRightInd w:val="0"/>
        <w:spacing w:line="360" w:lineRule="auto"/>
        <w:ind w:firstLine="480" w:firstLineChars="200"/>
        <w:jc w:val="left"/>
        <w:rPr>
          <w:rFonts w:eastAsia="仿宋_GB2312"/>
          <w:color w:val="auto"/>
          <w:sz w:val="24"/>
          <w:szCs w:val="24"/>
          <w:highlight w:val="yellow"/>
        </w:rPr>
      </w:pPr>
    </w:p>
    <w:p>
      <w:pPr>
        <w:pStyle w:val="294"/>
        <w:rPr>
          <w:rFonts w:cs="Times New Roman"/>
          <w:color w:val="auto"/>
        </w:rPr>
      </w:pPr>
      <w:r>
        <w:rPr>
          <w:rFonts w:cs="Times New Roman"/>
          <w:color w:val="auto"/>
        </w:rPr>
        <w:t>6 防护工程</w:t>
      </w:r>
    </w:p>
    <w:p>
      <w:pPr>
        <w:pStyle w:val="295"/>
        <w:rPr>
          <w:color w:val="auto"/>
        </w:rPr>
      </w:pPr>
      <w:r>
        <w:rPr>
          <w:color w:val="auto"/>
        </w:rPr>
        <w:t>6.1 工程概述</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本次基坑支护设计主要内容为污水池等构筑物结构施工开挖的深基坑，根据基坑开挖深度、场地的地质条件、周边环境条件、施工条件等综合分析，以选择经济合理的基坑支护形式，确保基坑及环境安全。</w:t>
      </w:r>
    </w:p>
    <w:p>
      <w:pPr>
        <w:pStyle w:val="295"/>
        <w:rPr>
          <w:color w:val="auto"/>
        </w:rPr>
      </w:pPr>
      <w:r>
        <w:rPr>
          <w:color w:val="auto"/>
        </w:rPr>
        <w:t>6.2 设计依据及标准</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（1）基坑安全等级采用二级、重要性系数γ0为1.0。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（2）基坑支护设计使用年限为一年。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（3）设计依据及规范：</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①</w:t>
      </w:r>
      <w:r>
        <w:rPr>
          <w:rFonts w:eastAsia="仿宋_GB2312"/>
          <w:color w:val="auto"/>
          <w:kern w:val="0"/>
          <w:sz w:val="24"/>
        </w:rPr>
        <w:t>《高速公路服务区污水接入市政（城镇）管网工程北区中间报告》</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②</w:t>
      </w:r>
      <w:r>
        <w:rPr>
          <w:rFonts w:eastAsia="仿宋_GB2312"/>
          <w:color w:val="auto"/>
          <w:kern w:val="0"/>
          <w:sz w:val="24"/>
        </w:rPr>
        <w:t>《建筑基坑支护技术规程》（JGJ 120-2012）</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③</w:t>
      </w:r>
      <w:r>
        <w:rPr>
          <w:rFonts w:eastAsia="仿宋_GB2312"/>
          <w:color w:val="auto"/>
          <w:kern w:val="0"/>
          <w:sz w:val="24"/>
        </w:rPr>
        <w:t>《建筑边坡工程技术规范》（GB 50330-2013）</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④</w:t>
      </w:r>
      <w:r>
        <w:rPr>
          <w:rFonts w:eastAsia="仿宋_GB2312"/>
          <w:color w:val="auto"/>
          <w:kern w:val="0"/>
          <w:sz w:val="24"/>
        </w:rPr>
        <w:t>《建筑与市政工程地下水控制技术规范》（JGJ 111-2016）</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⑤</w:t>
      </w:r>
      <w:r>
        <w:rPr>
          <w:rFonts w:eastAsia="仿宋_GB2312"/>
          <w:color w:val="auto"/>
          <w:kern w:val="0"/>
          <w:sz w:val="24"/>
        </w:rPr>
        <w:t>《建筑基坑工程监测技术规范》（GB 50497-2009）</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⑥</w:t>
      </w:r>
      <w:r>
        <w:rPr>
          <w:rFonts w:eastAsia="仿宋_GB2312"/>
          <w:color w:val="auto"/>
          <w:kern w:val="0"/>
          <w:sz w:val="24"/>
        </w:rPr>
        <w:t>《混凝土结构设计规范》（GB 50010-2010）2015版</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⑦</w:t>
      </w:r>
      <w:r>
        <w:rPr>
          <w:rFonts w:eastAsia="仿宋_GB2312"/>
          <w:color w:val="auto"/>
          <w:kern w:val="0"/>
          <w:sz w:val="24"/>
        </w:rPr>
        <w:t>《钢结构设计标准》（GB 50017-2017）</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⑧</w:t>
      </w:r>
      <w:r>
        <w:rPr>
          <w:rFonts w:eastAsia="仿宋_GB2312"/>
          <w:color w:val="auto"/>
          <w:kern w:val="0"/>
          <w:sz w:val="24"/>
        </w:rPr>
        <w:t>《建筑地基基础设计规范》（GB 50007-2011）</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⑨</w:t>
      </w:r>
      <w:r>
        <w:rPr>
          <w:rFonts w:eastAsia="仿宋_GB2312"/>
          <w:color w:val="auto"/>
          <w:kern w:val="0"/>
          <w:sz w:val="24"/>
        </w:rPr>
        <w:t>《建筑地基处理技术规范》（JGJ79-2012）</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⑩</w:t>
      </w:r>
      <w:r>
        <w:rPr>
          <w:rFonts w:eastAsia="仿宋_GB2312"/>
          <w:color w:val="auto"/>
          <w:kern w:val="0"/>
          <w:sz w:val="24"/>
        </w:rPr>
        <w:t>《建筑桩基技术规范》（JGJ94-2008）</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⑾</w:t>
      </w:r>
      <w:r>
        <w:rPr>
          <w:rFonts w:eastAsia="仿宋_GB2312"/>
          <w:color w:val="auto"/>
          <w:kern w:val="0"/>
          <w:sz w:val="24"/>
        </w:rPr>
        <w:t>《城市轨道交通工程监测技术规范》（GB 50911-2013）</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⑿</w:t>
      </w:r>
      <w:r>
        <w:rPr>
          <w:rFonts w:eastAsia="仿宋_GB2312"/>
          <w:color w:val="auto"/>
          <w:kern w:val="0"/>
          <w:sz w:val="24"/>
        </w:rPr>
        <w:t>《建筑基桩检测技术规范》（JGJ106-2014）</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⒀</w:t>
      </w:r>
      <w:r>
        <w:rPr>
          <w:rFonts w:eastAsia="仿宋_GB2312"/>
          <w:color w:val="auto"/>
          <w:kern w:val="0"/>
          <w:sz w:val="24"/>
        </w:rPr>
        <w:t>《钢结构工程施工质量验收规范》（GB 50205-2020）</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⒁</w:t>
      </w:r>
      <w:r>
        <w:rPr>
          <w:rFonts w:eastAsia="仿宋_GB2312"/>
          <w:color w:val="auto"/>
          <w:kern w:val="0"/>
          <w:sz w:val="24"/>
        </w:rPr>
        <w:t>《混凝土结构工程施工质量验收规范》（GB 50204-2011）</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⒂</w:t>
      </w:r>
      <w:r>
        <w:rPr>
          <w:rFonts w:eastAsia="仿宋_GB2312"/>
          <w:color w:val="auto"/>
          <w:kern w:val="0"/>
          <w:sz w:val="24"/>
        </w:rPr>
        <w:t>《钢筋机械连接技术规程》（JGJ107-2016）</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⒃</w:t>
      </w:r>
      <w:r>
        <w:rPr>
          <w:rFonts w:eastAsia="仿宋_GB2312"/>
          <w:color w:val="auto"/>
          <w:kern w:val="0"/>
          <w:sz w:val="24"/>
        </w:rPr>
        <w:t>《危险性较大的分部分项工程安全管理规定》（中华人民共和国住房和城乡建设部令第37号）</w:t>
      </w:r>
    </w:p>
    <w:p>
      <w:pPr>
        <w:tabs>
          <w:tab w:val="left" w:pos="525"/>
        </w:tabs>
        <w:adjustRightInd w:val="0"/>
        <w:snapToGrid w:val="0"/>
        <w:spacing w:line="360" w:lineRule="auto"/>
        <w:ind w:firstLine="480" w:firstLineChars="200"/>
        <w:rPr>
          <w:rFonts w:eastAsia="仿宋_GB2312"/>
          <w:color w:val="auto"/>
          <w:kern w:val="0"/>
          <w:sz w:val="24"/>
        </w:rPr>
      </w:pPr>
      <w:r>
        <w:rPr>
          <w:rFonts w:hint="eastAsia" w:ascii="宋体" w:hAnsi="宋体" w:cs="宋体"/>
          <w:color w:val="auto"/>
          <w:kern w:val="0"/>
          <w:sz w:val="24"/>
        </w:rPr>
        <w:t>⒄</w:t>
      </w:r>
      <w:r>
        <w:rPr>
          <w:rFonts w:eastAsia="仿宋_GB2312"/>
          <w:color w:val="auto"/>
          <w:kern w:val="0"/>
          <w:sz w:val="24"/>
        </w:rPr>
        <w:t>现行国家、安徽省及地方的规范、规程和标准</w:t>
      </w:r>
    </w:p>
    <w:p>
      <w:pPr>
        <w:pStyle w:val="295"/>
        <w:rPr>
          <w:color w:val="auto"/>
        </w:rPr>
      </w:pPr>
      <w:r>
        <w:rPr>
          <w:color w:val="auto"/>
        </w:rPr>
        <w:t>6.3 基坑防护设计</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根据总体设计方案，基坑深度约3-4.3米，主体结构采用明挖顺作法施工，基坑侧壁安全等级为二级，围护结构采用钻孔灌注桩+内支撑体系，降水采用截水+管井降水方案。</w:t>
      </w:r>
    </w:p>
    <w:p>
      <w:pPr>
        <w:pStyle w:val="295"/>
        <w:rPr>
          <w:color w:val="auto"/>
        </w:rPr>
      </w:pPr>
      <w:r>
        <w:rPr>
          <w:color w:val="auto"/>
        </w:rPr>
        <w:t>6.4 降排水设计</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截水明排</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为防止坡顶积水倒流入基坑，距离基坑顶1.5m处设置阻水埂。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基坑底部设置排水沟，排水沟两侧采用M7.5水泥砂浆砌筑水泥标砖，排水沟内侧及沟底采用M10水泥砂浆封底和抹面。同时，在基坑底部设置一集水坑，尺寸为80×80×150cm，做法同排水沟。</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施工过程中应保证基坑底部干燥无水，坑底地下水应降至基坑以下至少0.5m。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管井降水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工程基坑采用管井降水法,井点布置在基坑外,可根据现场条件调整,井深1及降水井布置详见平面图。降水井在下沉前埋设，埋设标高顶标高为相应位置的场地标高。基坑降水起止时间从土方开挖至内部结构施工结束回填完毕为止，降水要求降至坑底以下0.5米即可。</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管井降水系统设计要求：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1）管井降水系统由管井、潜水泵、出水管、排水总管、地面排水系统等组成。</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2）管井由井孔、井管、滤管、沉淀管、填砾层、止水封闭层等组成。</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3）井管采用直径168mm钢管，壁厚不小于4mm，成孔孔径为400 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4）管井过滤管可采用钢管，孔距60mm,孔径30mm，呈梅花型，滤管的空隙率为不小于30 %,选用填砾过滤层。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5）滤料选用磨圆度较好、粒径均匀的硬质砂砾和砾石，粒径以5mm为宜,厚度宜为75mm。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滤网选用外层40目钢丝网加内层20目尼龙网两层包裹。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管井降水施工顺序:管井测量定位→钻机就位→钻孔→回填井底砂垫层→吊放井管→回填井管与孔壁间的砾石过滤层→洗井→井管内下设水泵、安装抽水控制电路→试抽水→降水井正常工作→降水完毕拔井管→封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（3）管井降水施工要求: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1）进行降水井施工放样,应与设计图纸核对无误后方可施工，且降水井应避开地下障碍物；</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2）管井成孔根据地层条件可选用冲击钻、螺旋钻、回旋钻,成孔直径Φ400；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3）成孔深度应比设计深度多0.5m；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4）降水井的井深与设计井深偏差不宜大于50mm;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5）成孔结束后应采用大泵量冲洗泥浆,减少沉淀,注入清水,稀释泥浆比重接近1.1后,插入井管，投入滤料,严禁井管强行插入坍塌孔底；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6）由于降水管井分布集中,连续钻进,应及时进行洗井,不应搁置时间过长,或完成钻孔后集中洗井；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7）洗井方法：采用活塞机械或空压机洗井，必要时配合酸洗井；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8）洗井要求：洗至砂清水净，孔内水流流畅；</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9）完成洗井后,应进行单井试验性抽水;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10）管井的连接采用对接焊接,并在接头接不少于3根14mm的加强筋;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11）降水井的井身应竖直，下置井管应垂直立于井中心，其倾斜度应均不大于1度；</w:t>
      </w:r>
    </w:p>
    <w:p>
      <w:pPr>
        <w:pStyle w:val="295"/>
        <w:rPr>
          <w:color w:val="auto"/>
        </w:rPr>
      </w:pPr>
      <w:r>
        <w:rPr>
          <w:color w:val="auto"/>
        </w:rPr>
        <w:t>6.5 施工及控制措施</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6.5.1施工工法及主要施工步骤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（1）、施工工法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围护结构采用围护桩+内支撑的支护方式，其主体结构采用明挖顺筑法施工。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（2）、主要施工步骤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主体基坑采用明挖法施工。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主体施工时施工顺序如下：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1）前期准备，管线改迁、交通疏解及施工围挡；</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2）钻孔灌注桩、抗拔桩、临时立柱及下部桩基施工；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3）施工冠梁、混凝土支撑及挡墙；</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4）开挖基坑，每次开挖高度不得大于0.5m，并应及时挂网喷砼。开挖至设计标高后，及时架设钢支撑，并按设计要求施加预应力，直至基坑底面；</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5）施工接地网、垫层、底板、防水层及防水保护层；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6）浇筑底板结构、侧墙，拆除第三道支撑，继续浇筑侧墙，架设换撑；</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7）拆除第二道支撑，浇注顶板；</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8）回填，拆除换撑及第一道撑；</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6.5.2基坑施工开挖注意事项及技术要求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1）抗拔桩应采用可以保证成孔质量的施工工艺,本工程桩基施工操作应根据试桩工艺进行，试桩根数不少于3根，采用合理的钻孔进程、清孔、下钢筋笼、浇筑混凝土等。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2）钻孔灌注桩施工时，应严格执行《建筑桩基技术规范》及《建筑地基基础设计规范》的有关规定，并做好每道工序的原始记录。</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3）灌注桩身混凝土时应留置试块，每班不少于一组。机械成孔桩桩身质量检查应采用低应变动测法检测桩身完整性，检测数据不宜少于总桩数的20%；当根据低应变动测法判定为桩身完整性为Ⅲ类或Ⅳ类时，应采用钻芯法进行验证，并应扩大低应变动测法检测的数量。</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4）由于本工程桩长较长，施工单位应特别注意桩身垂直度的控制，已避免先行桩侵入后行桩的施工空间。桩端入土深度较大，施工中应严格按照相关规范进行二次清孔操作，并采取必要的施工措施，以减少桩底沉淤。在钢筋笼沉放到位且浇筑混凝土前测孔底中心点的沉淤厚度，沉淤厚度＜50mm。钢筋笼放入桩孔后应采取措施保证其保护层与标高的准确。钢筋笼放入后要尽快浇灌混凝土，并应连续灌注直至桩完成。确保混凝土的强度和密实性的要求，并做好每根桩的成桩原始记录。内容主要包括：钻孔，一、二次清孔，沉淤厚度，水下混凝土灌注等项目质量检验评定。桩身混凝土达到设计强度100％并经检测合格后方可开始下一工序施工。</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5）钢筋笼的主筋采用焊接接头（d≥22mm宜采用机械连接），不设弯钩，主筋与箍筋焊成钢筋笼骨架。钢筋笼入孔全过程应保持垂直，防止产生弯曲变形，并设保护层垫块，遇阻时不得强行下放，应采取措施保证保护层的厚度及笼底标高在允许范围内。</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6）要确保水下混凝土的浇筑质量，浇筑操作必须符合施工规范规定。导管提升时，严禁提出混凝土面，严禁挂住钢筋笼。水下混凝土灌注应连续进行，不得中断。对可能发生的堵管、导管进水等事故情况，应预定适当处理措施及时进行有效处理。</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7）应控制最后一次混凝土的灌注量。桩顶不得偏低，应凿除的浮浆高度0.5m。当凿除桩顶浮浆后，应能保证达到设计桩顶标高和混凝土的质量合格。充盈系数不小于1.0，并不得大于1.3。</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8）施工允许误差：围护桩桩顶中心线偏差应小于50mm，桩身垂直度偏差小于1/300；立柱桩、钢格构柱成桩垂直度偏差不大于1/300。</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9）钢筋笼就位后顶面、底面的标高误差均不得大于10mm。</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 10)钢格构柱的水平转向角度误差控制值不大于5度。</w:t>
      </w:r>
    </w:p>
    <w:p>
      <w:pPr>
        <w:pStyle w:val="295"/>
        <w:rPr>
          <w:color w:val="auto"/>
        </w:rPr>
      </w:pPr>
      <w:r>
        <w:rPr>
          <w:color w:val="auto"/>
        </w:rPr>
        <w:t>6.6 基坑回填</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本次基坑开挖后，基坑采用灰土回填，回填方应分层回填压实，压实度不小于96%，路基范围内应满足路基回填压实度要求。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回填施工时，应充分重视边、拐角处的压实质量，选择合适的压实机具施工。一般大型压实机具，控制松铺厚度≤30cm，小型机具，控制松铺厚度≤15cm。</w:t>
      </w:r>
    </w:p>
    <w:p>
      <w:pPr>
        <w:pStyle w:val="295"/>
        <w:rPr>
          <w:color w:val="auto"/>
        </w:rPr>
      </w:pPr>
      <w:r>
        <w:rPr>
          <w:color w:val="auto"/>
        </w:rPr>
        <w:t>6.7 施工监测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本次基坑开挖施工监测，应包含以下内容：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1）支护坡面位移的测量；</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2）地表开裂状态（位置、裂宽）的观察；</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3）基坑渗、漏水和基坑内外的地下水位变化。</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施工阶段，每天监测不少于1-2次；在完成基坑开挖、变形趋于稳定的情况下可适当减少监测次数。监测过程应持续至整个基坑回填结束为止。</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检测采用精密水准仪或精密经纬仪。应加强雨天及雨后的检测力度。</w:t>
      </w:r>
    </w:p>
    <w:p>
      <w:pPr>
        <w:pStyle w:val="295"/>
        <w:rPr>
          <w:color w:val="auto"/>
        </w:rPr>
      </w:pPr>
      <w:r>
        <w:rPr>
          <w:color w:val="auto"/>
        </w:rPr>
        <w:t>6.8 危大工程</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6.8.1编制依据</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危险性较大工程是指建筑工程在施工过程中存在的、可能导致作业人员群死群伤或造成重大不良社会影响的分部分项工程。依据性文件如下：</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《危险性较大的分部分项工程安全管理规定》（中华人民共和国住房和城乡建设部令第37号）</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《住房城乡建设部办公厅关于实施（危险性较大的分部分项工程安全管理规定）有关问题的通知》（建办质（2018）31号）</w:t>
      </w:r>
    </w:p>
    <w:p>
      <w:pPr>
        <w:pStyle w:val="296"/>
        <w:ind w:left="1007" w:leftChars="250" w:hanging="482" w:hangingChars="200"/>
        <w:rPr>
          <w:rFonts w:ascii="Times New Roman" w:hAnsi="Times New Roman" w:cs="Times New Roman"/>
          <w:color w:val="auto"/>
        </w:rPr>
      </w:pPr>
      <w:r>
        <w:rPr>
          <w:rFonts w:ascii="Times New Roman" w:hAnsi="Times New Roman" w:cs="Times New Roman"/>
          <w:color w:val="auto"/>
        </w:rPr>
        <w:t>6.8.2总体要求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设计对本项目存在的危险性较大的分部分项工程进行梳理并提出保障安全的建议措施。工程参建各方应认真按照《危险性较大的分部分项工程安全管理规定》进行施工管理，施工单位在投标时应补充完善危大工程清单并明确相应的安全管理措施，施工单位应当在危大工程施工前组织工程技术人员编制专项施工方案，对于超过一定规模的危大工程，建设单位、施工单位应当组织召开专家论证会对专项施工方案进行论证。</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危大工程范围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1）本工程存在开挖深度超过3m（含3m）的基坑（槽）的土方开挖、支护、降水工程。涉及的具体位置见后附表；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2）本工程存在可能影响行人、交通、电力设施、通讯设施或其他建、构筑物安全的拆除工程，涉及的具体位置见后附表。</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风险源识别</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本项目风险源包括工程自身风险和环境风险等。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工程自身风险除上述危险性较大的内容外，还包括不良地质（地下水、边坡、液化土、软土等）、恶劣气候（暴风、暴雨、洪水、雷电等）、运输通行（撞击等）等内容。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环境风险主要包括以下内容：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1、工程周边的桥梁，包括公路、市政等。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2、工程周边的建筑，包括地上、地下等。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3、工程周边的管线，包括地上、地下等。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4、工程周边的可燃物，包括油、气、化学产品等。</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5、参建各方确定应列入该范围的其他内容。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保障工程周边环境安全和工程施工安全的意见建议</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1、施工前的准备</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（1）应认真熟阅勘察报告、设计图纸、设计变更等文件，通知有关方面组织设计交底，掌握设计意图，确认采用文件是最终版本。</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（2）应对勘察、设计等文件进行核查，如发现文件未经审查，应及时反馈业主。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（3）应对现场地形进行核查，如遇设计采用地形图有差异，应及时反馈业主。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（4）应对现场管线进行核查，如遇设计采用管线图有差异，应及时反馈业主。</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（5）应编制施工组织方案，报有关部门审批确认。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（6）应编制风险评估报告，报有关部门审批确认。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（7）应识别环境风险，并根据环境风险分别编制专项保护方案（保护措施、监测监控、应急预案等）,报有关部门审批确认。</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（8）基坑工程编制专项施工方案；专项施工方案按规定审核、审批；超过一定规模条件的基坑工程专项施工方案按规定组织专家论证；基坑周边环境或施工条件发生变化，专项施工方案应重新进行审核、审批。</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2、施工中的控制</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 xml:space="preserve">（1）开挖深度按规范要求采取支护措施；自然放坡的坡率应符合专项施工方案和规范要求；基坑支护结构应符合设计要求；支护结构水平位移达到设计容许范围值内。 </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（2）按要求进行基坑工程监测；基坑监测项目应符合设计和规范要求；监测的时间间隔应符合监测方案要求或监测结果变化速率较大应加密观测次数；按设计要求提交监测报告且报告内容完整</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（3）支护结构施工前应进行试验性施工，并应评估施工工艺和各项参数对基坑及周边环境的影响程度，根据试验结果调整参数、工法或反馈设计调整方案。</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（4）施工现场道路布置、材料堆放、车辆行走路线等应符合设计荷载控制要求。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（5）施工应认真按照施工注意事项及施工规范执行。</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（6）施工程序应符合规范和各级质监、安监等部门要求。</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（7）施工中应采取切实可行的措施对风险进行控制，避免淹溺、机械伤害、起重伤害、高出坠落、物体打击、触电、火灾、坍塌、车船撞击、施工设备事故等风险事件发生。</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（8）施工场地严禁发生超出设计图纸以外的挖方、堆载等行为。</w:t>
      </w:r>
    </w:p>
    <w:p>
      <w:pPr>
        <w:tabs>
          <w:tab w:val="left" w:pos="525"/>
        </w:tabs>
        <w:adjustRightInd w:val="0"/>
        <w:snapToGrid w:val="0"/>
        <w:spacing w:line="360" w:lineRule="auto"/>
        <w:ind w:firstLine="480" w:firstLineChars="200"/>
        <w:rPr>
          <w:rFonts w:eastAsia="仿宋_GB2312"/>
          <w:color w:val="auto"/>
          <w:kern w:val="0"/>
          <w:sz w:val="24"/>
        </w:rPr>
      </w:pPr>
      <w:r>
        <w:rPr>
          <w:rFonts w:eastAsia="仿宋_GB2312"/>
          <w:color w:val="auto"/>
          <w:kern w:val="0"/>
          <w:sz w:val="24"/>
        </w:rPr>
        <w:t>（9）施工如发现异常，应及时反馈业主。</w:t>
      </w:r>
    </w:p>
    <w:p>
      <w:pPr>
        <w:widowControl/>
        <w:jc w:val="left"/>
        <w:rPr>
          <w:rFonts w:eastAsia="仿宋_GB2312"/>
          <w:b/>
          <w:bCs/>
          <w:color w:val="auto"/>
          <w:sz w:val="32"/>
        </w:rPr>
      </w:pPr>
      <w:r>
        <w:rPr>
          <w:color w:val="auto"/>
        </w:rPr>
        <w:br w:type="page"/>
      </w:r>
    </w:p>
    <w:p>
      <w:pPr>
        <w:pStyle w:val="294"/>
        <w:rPr>
          <w:rFonts w:cs="Times New Roman"/>
          <w:color w:val="auto"/>
        </w:rPr>
      </w:pPr>
      <w:r>
        <w:rPr>
          <w:rFonts w:cs="Times New Roman"/>
          <w:color w:val="auto"/>
        </w:rPr>
        <w:t>7 附件</w:t>
      </w:r>
    </w:p>
    <w:p>
      <w:pPr>
        <w:tabs>
          <w:tab w:val="left" w:pos="525"/>
        </w:tabs>
        <w:adjustRightInd w:val="0"/>
        <w:snapToGrid w:val="0"/>
        <w:spacing w:line="360" w:lineRule="auto"/>
        <w:jc w:val="center"/>
        <w:rPr>
          <w:rFonts w:eastAsia="仿宋_GB2312"/>
          <w:b/>
          <w:bCs/>
          <w:color w:val="auto"/>
          <w:sz w:val="24"/>
          <w:szCs w:val="24"/>
        </w:rPr>
      </w:pPr>
    </w:p>
    <w:sectPr>
      <w:type w:val="continuous"/>
      <w:pgSz w:w="23814" w:h="16840" w:orient="landscape"/>
      <w:pgMar w:top="1797" w:right="1440" w:bottom="1797" w:left="1470" w:header="851" w:footer="992" w:gutter="0"/>
      <w:cols w:space="792" w:num="2"/>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Trebuchet MS">
    <w:panose1 w:val="020B0603020202020204"/>
    <w:charset w:val="00"/>
    <w:family w:val="swiss"/>
    <w:pitch w:val="default"/>
    <w:sig w:usb0="00000287" w:usb1="00000000" w:usb2="00000000" w:usb3="00000000" w:csb0="2000009F" w:csb1="00000000"/>
  </w:font>
  <w:font w:name="Verdana">
    <w:panose1 w:val="020B0604030504040204"/>
    <w:charset w:val="00"/>
    <w:family w:val="swiss"/>
    <w:pitch w:val="default"/>
    <w:sig w:usb0="A10006FF" w:usb1="4000205B" w:usb2="00000010" w:usb3="00000000" w:csb0="2000019F" w:csb1="00000000"/>
  </w:font>
  <w:font w:name="华文细黑">
    <w:altName w:val="微软雅黑"/>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80F3C52" w:usb2="00000016" w:usb3="00000000" w:csb0="0004001F" w:csb1="00000000"/>
  </w:font>
  <w:font w:name="楷体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Batang">
    <w:panose1 w:val="02030600000101010101"/>
    <w:charset w:val="81"/>
    <w:family w:val="roman"/>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Pr>
    <w:r>
      <w:rPr>
        <w:rFonts w:ascii="仿宋_GB2312" w:hAnsi="宋体" w:eastAsia="仿宋_GB2312"/>
        <w:sz w:val="21"/>
        <w:szCs w:val="21"/>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400050" cy="198755"/>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00050" cy="198755"/>
                  </a:xfrm>
                  <a:prstGeom prst="rect">
                    <a:avLst/>
                  </a:prstGeom>
                  <a:noFill/>
                </pic:spPr>
              </pic:pic>
            </a:graphicData>
          </a:graphic>
        </wp:anchor>
      </w:drawing>
    </w:r>
    <w: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-85725</wp:posOffset>
              </wp:positionV>
              <wp:extent cx="13318490" cy="0"/>
              <wp:effectExtent l="0" t="0" r="0" b="0"/>
              <wp:wrapSquare wrapText="bothSides"/>
              <wp:docPr id="65" name="Line 1"/>
              <wp:cNvGraphicFramePr/>
              <a:graphic xmlns:a="http://schemas.openxmlformats.org/drawingml/2006/main">
                <a:graphicData uri="http://schemas.microsoft.com/office/word/2010/wordprocessingShape">
                  <wps:wsp>
                    <wps:cNvCnPr>
                      <a:cxnSpLocks noChangeShapeType="1"/>
                    </wps:cNvCnPr>
                    <wps:spPr bwMode="auto">
                      <a:xfrm>
                        <a:off x="0" y="0"/>
                        <a:ext cx="13318490" cy="0"/>
                      </a:xfrm>
                      <a:prstGeom prst="line">
                        <a:avLst/>
                      </a:prstGeom>
                      <a:noFill/>
                      <a:ln w="9525">
                        <a:solidFill>
                          <a:srgbClr val="000000"/>
                        </a:solidFill>
                        <a:round/>
                      </a:ln>
                    </wps:spPr>
                    <wps:bodyPr/>
                  </wps:wsp>
                </a:graphicData>
              </a:graphic>
            </wp:anchor>
          </w:drawing>
        </mc:Choice>
        <mc:Fallback>
          <w:pict>
            <v:line id="Line 1" o:spid="_x0000_s1026" o:spt="20" style="position:absolute;left:0pt;margin-left:0pt;margin-top:-6.75pt;height:0pt;width:1048.7pt;mso-wrap-distance-bottom:0pt;mso-wrap-distance-left:9pt;mso-wrap-distance-right:9pt;mso-wrap-distance-top:0pt;z-index:251659264;mso-width-relative:page;mso-height-relative:page;" filled="f" stroked="t" coordsize="21600,21600" o:gfxdata="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jmHIV1wAAAAkBAAAPAAAAAAAAAAEAIAAAACIAAABkcnMv&#10;ZG93bnJldi54bWxQSwECFAAUAAAACACHTuJAbhmqo8sBAAChAwAADgAAAAAAAAABACAAAAAmAQAA&#10;ZHJzL2Uyb0RvYy54bWxQSwUGAAAAAAYABgBZAQAAYwUAAAAA&#10;">
              <v:fill on="f" focussize="0,0"/>
              <v:stroke color="#000000" joinstyle="round"/>
              <v:imagedata o:title=""/>
              <o:lock v:ext="edit" aspectratio="f"/>
              <w10:wrap type="square"/>
            </v:line>
          </w:pict>
        </mc:Fallback>
      </mc:AlternateContent>
    </w:r>
    <w:r>
      <w:rPr>
        <w:rFonts w:hint="eastAsia" w:ascii="仿宋_GB2312" w:hAnsi="宋体" w:eastAsia="仿宋_GB2312"/>
        <w:sz w:val="21"/>
        <w:szCs w:val="21"/>
      </w:rPr>
      <w:t>安徽省安徽省交通规划设计研究院总院股份有限公司</w:t>
    </w:r>
    <w:r>
      <w:rPr>
        <w:rFonts w:hint="eastAsia" w:ascii="仿宋_GB2312" w:eastAsia="仿宋_GB2312"/>
        <w:sz w:val="21"/>
      </w:rPr>
      <w:t xml:space="preserve">  　　　　　　　　　　　　　　　　　　　　　   　　  -</w:t>
    </w:r>
    <w:r>
      <w:rPr>
        <w:rStyle w:val="51"/>
      </w:rPr>
      <w:fldChar w:fldCharType="begin"/>
    </w:r>
    <w:r>
      <w:rPr>
        <w:rStyle w:val="51"/>
      </w:rPr>
      <w:instrText xml:space="preserve"> PAGE </w:instrText>
    </w:r>
    <w:r>
      <w:rPr>
        <w:rStyle w:val="51"/>
      </w:rPr>
      <w:fldChar w:fldCharType="separate"/>
    </w:r>
    <w:r>
      <w:rPr>
        <w:rStyle w:val="51"/>
      </w:rPr>
      <w:t>6</w:t>
    </w:r>
    <w:r>
      <w:rPr>
        <w:rStyle w:val="51"/>
      </w:rPr>
      <w:fldChar w:fldCharType="end"/>
    </w:r>
    <w:r>
      <w:rPr>
        <w:rFonts w:hint="eastAsia" w:ascii="仿宋_GB2312" w:eastAsia="仿宋_GB2312"/>
        <w:sz w:val="21"/>
      </w:rPr>
      <w:t xml:space="preserve">- 　　　　　　　　　　　　　　　　　　　　　　　　                        </w:t>
    </w:r>
    <w:r>
      <w:rPr>
        <w:rFonts w:ascii="仿宋_GB2312" w:eastAsia="仿宋_GB2312"/>
        <w:sz w:val="21"/>
      </w:rPr>
      <w:t xml:space="preserve">    </w:t>
    </w:r>
    <w:r>
      <w:rPr>
        <w:rFonts w:hint="eastAsia" w:ascii="仿宋_GB2312" w:eastAsia="仿宋_GB2312"/>
        <w:sz w:val="21"/>
      </w:rPr>
      <w:t xml:space="preserve">         施工图设计</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framePr w:wrap="around" w:vAnchor="text" w:hAnchor="margin" w:xAlign="center" w:y="1"/>
      <w:rPr>
        <w:rStyle w:val="51"/>
      </w:rPr>
    </w:pPr>
    <w:r>
      <w:rPr>
        <w:rStyle w:val="51"/>
      </w:rPr>
      <w:fldChar w:fldCharType="begin"/>
    </w:r>
    <w:r>
      <w:rPr>
        <w:rStyle w:val="51"/>
      </w:rPr>
      <w:instrText xml:space="preserve">PAGE  </w:instrText>
    </w:r>
    <w:r>
      <w:rPr>
        <w:rStyle w:val="51"/>
      </w:rPr>
      <w:fldChar w:fldCharType="end"/>
    </w:r>
  </w:p>
  <w:p>
    <w:pPr>
      <w:pStyle w:val="3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pBdr>
        <w:bottom w:val="single" w:color="auto" w:sz="6" w:space="0"/>
      </w:pBdr>
      <w:ind w:firstLine="120" w:firstLineChars="50"/>
      <w:jc w:val="both"/>
      <w:rPr>
        <w:sz w:val="24"/>
        <w:szCs w:val="24"/>
      </w:rPr>
    </w:pPr>
    <w:r>
      <w:rPr>
        <w:rFonts w:hint="eastAsia" w:ascii="仿宋_GB2312" w:hAnsi="宋体" w:eastAsia="仿宋_GB2312"/>
        <w:sz w:val="24"/>
        <w:szCs w:val="24"/>
      </w:rPr>
      <w:t>安徽高速收费站及园区污水处理系统改造及市政接驳工程</w:t>
    </w:r>
    <w:r>
      <w:rPr>
        <w:rFonts w:ascii="宋体" w:hAnsi="宋体"/>
        <w:color w:val="993300"/>
        <w:sz w:val="24"/>
        <w:szCs w:val="24"/>
      </w:rPr>
      <w:t xml:space="preserve">                          </w:t>
    </w:r>
    <w:r>
      <w:rPr>
        <w:rFonts w:hint="eastAsia" w:ascii="宋体" w:hAnsi="宋体"/>
        <w:color w:val="993300"/>
        <w:sz w:val="24"/>
        <w:szCs w:val="24"/>
      </w:rPr>
      <w:t xml:space="preserve">         </w:t>
    </w:r>
    <w:r>
      <w:rPr>
        <w:rFonts w:ascii="宋体" w:hAnsi="宋体"/>
        <w:color w:val="993300"/>
        <w:sz w:val="24"/>
        <w:szCs w:val="24"/>
      </w:rPr>
      <w:t xml:space="preserve">  </w:t>
    </w:r>
    <w:r>
      <w:rPr>
        <w:rFonts w:hint="eastAsia" w:ascii="宋体" w:hAnsi="宋体"/>
        <w:color w:val="993300"/>
        <w:sz w:val="24"/>
        <w:szCs w:val="24"/>
      </w:rPr>
      <w:t xml:space="preserve">           </w:t>
    </w:r>
    <w:r>
      <w:rPr>
        <w:rFonts w:hint="eastAsia" w:ascii="仿宋_GB2312" w:hAnsi="宋体" w:eastAsia="仿宋_GB2312"/>
        <w:sz w:val="24"/>
        <w:szCs w:val="24"/>
      </w:rPr>
      <w:t xml:space="preserve">   　                                                　　       　 排水工程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8AB433"/>
    <w:multiLevelType w:val="singleLevel"/>
    <w:tmpl w:val="C98AB433"/>
    <w:lvl w:ilvl="0" w:tentative="0">
      <w:start w:val="2"/>
      <w:numFmt w:val="decimal"/>
      <w:suff w:val="nothing"/>
      <w:lvlText w:val="（%1）"/>
      <w:lvlJc w:val="left"/>
    </w:lvl>
  </w:abstractNum>
  <w:abstractNum w:abstractNumId="1">
    <w:nsid w:val="FCB46B72"/>
    <w:multiLevelType w:val="singleLevel"/>
    <w:tmpl w:val="FCB46B72"/>
    <w:lvl w:ilvl="0" w:tentative="0">
      <w:start w:val="2"/>
      <w:numFmt w:val="decimal"/>
      <w:suff w:val="nothing"/>
      <w:lvlText w:val="（%1）"/>
      <w:lvlJc w:val="left"/>
    </w:lvl>
  </w:abstractNum>
  <w:abstractNum w:abstractNumId="2">
    <w:nsid w:val="FFFFFF83"/>
    <w:multiLevelType w:val="singleLevel"/>
    <w:tmpl w:val="FFFFFF83"/>
    <w:lvl w:ilvl="0" w:tentative="0">
      <w:start w:val="1"/>
      <w:numFmt w:val="bullet"/>
      <w:pStyle w:val="22"/>
      <w:lvlText w:val=""/>
      <w:lvlJc w:val="left"/>
      <w:pPr>
        <w:tabs>
          <w:tab w:val="left" w:pos="780"/>
        </w:tabs>
        <w:ind w:left="780" w:leftChars="200" w:hanging="360" w:hangingChars="200"/>
      </w:pPr>
      <w:rPr>
        <w:rFonts w:hint="default" w:ascii="Wingdings" w:hAnsi="Wingdings"/>
      </w:rPr>
    </w:lvl>
  </w:abstractNum>
  <w:abstractNum w:abstractNumId="3">
    <w:nsid w:val="0FD9328E"/>
    <w:multiLevelType w:val="multilevel"/>
    <w:tmpl w:val="0FD9328E"/>
    <w:lvl w:ilvl="0" w:tentative="0">
      <w:start w:val="1"/>
      <w:numFmt w:val="chineseCountingThousand"/>
      <w:lvlText w:val="%1、"/>
      <w:lvlJc w:val="left"/>
      <w:pPr>
        <w:tabs>
          <w:tab w:val="left" w:pos="425"/>
        </w:tabs>
      </w:pPr>
      <w:rPr>
        <w:rFonts w:hint="eastAsia"/>
      </w:rPr>
    </w:lvl>
    <w:lvl w:ilvl="1" w:tentative="0">
      <w:start w:val="1"/>
      <w:numFmt w:val="decimal"/>
      <w:lvlText w:val="%2."/>
      <w:lvlJc w:val="left"/>
      <w:pPr>
        <w:tabs>
          <w:tab w:val="left" w:pos="1276"/>
        </w:tabs>
        <w:ind w:left="851"/>
      </w:pPr>
      <w:rPr>
        <w:rFonts w:hint="eastAsia"/>
      </w:rPr>
    </w:lvl>
    <w:lvl w:ilvl="2" w:tentative="0">
      <w:start w:val="1"/>
      <w:numFmt w:val="decimal"/>
      <w:lvlText w:val="(%3)"/>
      <w:lvlJc w:val="left"/>
      <w:pPr>
        <w:tabs>
          <w:tab w:val="left" w:pos="2126"/>
        </w:tabs>
        <w:ind w:left="1701"/>
      </w:pPr>
      <w:rPr>
        <w:rFonts w:hint="eastAsia"/>
      </w:rPr>
    </w:lvl>
    <w:lvl w:ilvl="3" w:tentative="0">
      <w:start w:val="1"/>
      <w:numFmt w:val="decimal"/>
      <w:lvlText w:val="%4)"/>
      <w:lvlJc w:val="left"/>
      <w:pPr>
        <w:tabs>
          <w:tab w:val="left" w:pos="2976"/>
        </w:tabs>
        <w:ind w:left="2551"/>
      </w:pPr>
      <w:rPr>
        <w:rFonts w:hint="eastAsia"/>
      </w:rPr>
    </w:lvl>
    <w:lvl w:ilvl="4" w:tentative="0">
      <w:start w:val="1"/>
      <w:numFmt w:val="upperLetter"/>
      <w:pStyle w:val="115"/>
      <w:lvlText w:val="%5."/>
      <w:lvlJc w:val="left"/>
      <w:pPr>
        <w:tabs>
          <w:tab w:val="left" w:pos="3827"/>
        </w:tabs>
        <w:ind w:left="3402"/>
      </w:pPr>
      <w:rPr>
        <w:rFonts w:hint="eastAsia"/>
      </w:rPr>
    </w:lvl>
    <w:lvl w:ilvl="5" w:tentative="0">
      <w:start w:val="1"/>
      <w:numFmt w:val="lowerLetter"/>
      <w:lvlText w:val="%6)"/>
      <w:lvlJc w:val="left"/>
      <w:pPr>
        <w:tabs>
          <w:tab w:val="left" w:pos="4677"/>
        </w:tabs>
        <w:ind w:left="4252"/>
      </w:pPr>
      <w:rPr>
        <w:rFonts w:hint="eastAsia"/>
      </w:rPr>
    </w:lvl>
    <w:lvl w:ilvl="6" w:tentative="0">
      <w:start w:val="1"/>
      <w:numFmt w:val="lowerRoman"/>
      <w:lvlText w:val="(%7)"/>
      <w:lvlJc w:val="left"/>
      <w:pPr>
        <w:tabs>
          <w:tab w:val="left" w:pos="5528"/>
        </w:tabs>
        <w:ind w:left="5102"/>
      </w:pPr>
      <w:rPr>
        <w:rFonts w:hint="eastAsia"/>
      </w:rPr>
    </w:lvl>
    <w:lvl w:ilvl="7" w:tentative="0">
      <w:start w:val="1"/>
      <w:numFmt w:val="lowerLetter"/>
      <w:lvlText w:val="(%8)"/>
      <w:lvlJc w:val="left"/>
      <w:pPr>
        <w:tabs>
          <w:tab w:val="left" w:pos="6378"/>
        </w:tabs>
        <w:ind w:left="5953"/>
      </w:pPr>
      <w:rPr>
        <w:rFonts w:hint="eastAsia"/>
      </w:rPr>
    </w:lvl>
    <w:lvl w:ilvl="8" w:tentative="0">
      <w:start w:val="1"/>
      <w:numFmt w:val="lowerRoman"/>
      <w:lvlText w:val="(%9)"/>
      <w:lvlJc w:val="left"/>
      <w:pPr>
        <w:tabs>
          <w:tab w:val="left" w:pos="7228"/>
        </w:tabs>
        <w:ind w:left="6803"/>
      </w:pPr>
      <w:rPr>
        <w:rFonts w:hint="eastAsia"/>
      </w:rPr>
    </w:lvl>
  </w:abstractNum>
  <w:abstractNum w:abstractNumId="4">
    <w:nsid w:val="34B668E3"/>
    <w:multiLevelType w:val="multilevel"/>
    <w:tmpl w:val="34B668E3"/>
    <w:lvl w:ilvl="0" w:tentative="0">
      <w:start w:val="1"/>
      <w:numFmt w:val="chineseCountingThousand"/>
      <w:lvlText w:val="%1、"/>
      <w:lvlJc w:val="left"/>
      <w:pPr>
        <w:tabs>
          <w:tab w:val="left" w:pos="-227"/>
        </w:tabs>
        <w:ind w:left="-652" w:firstLine="0"/>
      </w:pPr>
      <w:rPr>
        <w:rFonts w:hint="eastAsia"/>
      </w:rPr>
    </w:lvl>
    <w:lvl w:ilvl="1" w:tentative="0">
      <w:start w:val="1"/>
      <w:numFmt w:val="decimal"/>
      <w:lvlRestart w:val="0"/>
      <w:pStyle w:val="96"/>
      <w:lvlText w:val="%2."/>
      <w:lvlJc w:val="left"/>
      <w:pPr>
        <w:tabs>
          <w:tab w:val="left" w:pos="624"/>
        </w:tabs>
        <w:ind w:left="198" w:firstLine="0"/>
      </w:pPr>
      <w:rPr>
        <w:rFonts w:hint="eastAsia"/>
      </w:rPr>
    </w:lvl>
    <w:lvl w:ilvl="2" w:tentative="0">
      <w:start w:val="1"/>
      <w:numFmt w:val="decimal"/>
      <w:lvlText w:val="(%3)"/>
      <w:lvlJc w:val="left"/>
      <w:pPr>
        <w:tabs>
          <w:tab w:val="left" w:pos="1474"/>
        </w:tabs>
        <w:ind w:left="1049" w:firstLine="0"/>
      </w:pPr>
      <w:rPr>
        <w:rFonts w:hint="eastAsia"/>
      </w:rPr>
    </w:lvl>
    <w:lvl w:ilvl="3" w:tentative="0">
      <w:start w:val="1"/>
      <w:numFmt w:val="decimal"/>
      <w:lvlText w:val="%4)"/>
      <w:lvlJc w:val="left"/>
      <w:pPr>
        <w:tabs>
          <w:tab w:val="left" w:pos="2324"/>
        </w:tabs>
        <w:ind w:left="1899" w:firstLine="0"/>
      </w:pPr>
      <w:rPr>
        <w:rFonts w:hint="eastAsia"/>
      </w:rPr>
    </w:lvl>
    <w:lvl w:ilvl="4" w:tentative="0">
      <w:start w:val="1"/>
      <w:numFmt w:val="upperLetter"/>
      <w:lvlText w:val="%5."/>
      <w:lvlJc w:val="left"/>
      <w:pPr>
        <w:tabs>
          <w:tab w:val="left" w:pos="3175"/>
        </w:tabs>
        <w:ind w:left="2750" w:firstLine="0"/>
      </w:pPr>
      <w:rPr>
        <w:rFonts w:hint="eastAsia"/>
      </w:rPr>
    </w:lvl>
    <w:lvl w:ilvl="5" w:tentative="0">
      <w:start w:val="1"/>
      <w:numFmt w:val="lowerLetter"/>
      <w:lvlText w:val="(%6)"/>
      <w:lvlJc w:val="left"/>
      <w:pPr>
        <w:tabs>
          <w:tab w:val="left" w:pos="4025"/>
        </w:tabs>
        <w:ind w:left="3600" w:firstLine="0"/>
      </w:pPr>
      <w:rPr>
        <w:rFonts w:hint="eastAsia"/>
      </w:rPr>
    </w:lvl>
    <w:lvl w:ilvl="6" w:tentative="0">
      <w:start w:val="1"/>
      <w:numFmt w:val="lowerRoman"/>
      <w:lvlText w:val="(%7)"/>
      <w:lvlJc w:val="left"/>
      <w:pPr>
        <w:tabs>
          <w:tab w:val="left" w:pos="4876"/>
        </w:tabs>
        <w:ind w:left="4450" w:firstLine="0"/>
      </w:pPr>
      <w:rPr>
        <w:rFonts w:hint="eastAsia"/>
      </w:rPr>
    </w:lvl>
    <w:lvl w:ilvl="7" w:tentative="0">
      <w:start w:val="1"/>
      <w:numFmt w:val="lowerLetter"/>
      <w:lvlText w:val="(%8)"/>
      <w:lvlJc w:val="left"/>
      <w:pPr>
        <w:tabs>
          <w:tab w:val="left" w:pos="5726"/>
        </w:tabs>
        <w:ind w:left="5301" w:firstLine="0"/>
      </w:pPr>
      <w:rPr>
        <w:rFonts w:hint="eastAsia"/>
      </w:rPr>
    </w:lvl>
    <w:lvl w:ilvl="8" w:tentative="0">
      <w:start w:val="1"/>
      <w:numFmt w:val="lowerRoman"/>
      <w:lvlText w:val="(%9)"/>
      <w:lvlJc w:val="left"/>
      <w:pPr>
        <w:tabs>
          <w:tab w:val="left" w:pos="6576"/>
        </w:tabs>
        <w:ind w:left="6151" w:firstLine="0"/>
      </w:pPr>
      <w:rPr>
        <w:rFonts w:hint="eastAsia"/>
      </w:rPr>
    </w:lvl>
  </w:abstractNum>
  <w:abstractNum w:abstractNumId="5">
    <w:nsid w:val="34D811E9"/>
    <w:multiLevelType w:val="multilevel"/>
    <w:tmpl w:val="34D811E9"/>
    <w:lvl w:ilvl="0" w:tentative="0">
      <w:start w:val="1"/>
      <w:numFmt w:val="chineseCountingThousand"/>
      <w:pStyle w:val="124"/>
      <w:lvlText w:val="%1、"/>
      <w:lvlJc w:val="left"/>
      <w:pPr>
        <w:tabs>
          <w:tab w:val="left" w:pos="425"/>
        </w:tabs>
      </w:pPr>
      <w:rPr>
        <w:rFonts w:hint="eastAsia"/>
      </w:rPr>
    </w:lvl>
    <w:lvl w:ilvl="1" w:tentative="0">
      <w:start w:val="1"/>
      <w:numFmt w:val="decimal"/>
      <w:lvlText w:val="%2."/>
      <w:lvlJc w:val="left"/>
      <w:pPr>
        <w:tabs>
          <w:tab w:val="left" w:pos="1276"/>
        </w:tabs>
        <w:ind w:left="851"/>
      </w:pPr>
      <w:rPr>
        <w:rFonts w:hint="eastAsia"/>
      </w:rPr>
    </w:lvl>
    <w:lvl w:ilvl="2" w:tentative="0">
      <w:start w:val="1"/>
      <w:numFmt w:val="decimal"/>
      <w:lvlText w:val="(%3)"/>
      <w:lvlJc w:val="left"/>
      <w:pPr>
        <w:tabs>
          <w:tab w:val="left" w:pos="2126"/>
        </w:tabs>
        <w:ind w:left="1701"/>
      </w:pPr>
      <w:rPr>
        <w:rFonts w:hint="eastAsia"/>
      </w:rPr>
    </w:lvl>
    <w:lvl w:ilvl="3" w:tentative="0">
      <w:start w:val="1"/>
      <w:numFmt w:val="decimal"/>
      <w:lvlText w:val="%4)"/>
      <w:lvlJc w:val="left"/>
      <w:pPr>
        <w:tabs>
          <w:tab w:val="left" w:pos="2976"/>
        </w:tabs>
        <w:ind w:left="2551"/>
      </w:pPr>
      <w:rPr>
        <w:rFonts w:hint="eastAsia"/>
      </w:rPr>
    </w:lvl>
    <w:lvl w:ilvl="4" w:tentative="0">
      <w:start w:val="1"/>
      <w:numFmt w:val="upperLetter"/>
      <w:lvlText w:val="%5."/>
      <w:lvlJc w:val="left"/>
      <w:pPr>
        <w:tabs>
          <w:tab w:val="left" w:pos="3827"/>
        </w:tabs>
        <w:ind w:left="3402"/>
      </w:pPr>
      <w:rPr>
        <w:rFonts w:hint="eastAsia"/>
      </w:rPr>
    </w:lvl>
    <w:lvl w:ilvl="5" w:tentative="0">
      <w:start w:val="1"/>
      <w:numFmt w:val="lowerLetter"/>
      <w:lvlText w:val="(%6)"/>
      <w:lvlJc w:val="left"/>
      <w:pPr>
        <w:tabs>
          <w:tab w:val="left" w:pos="4677"/>
        </w:tabs>
        <w:ind w:left="4252"/>
      </w:pPr>
      <w:rPr>
        <w:rFonts w:hint="eastAsia"/>
      </w:rPr>
    </w:lvl>
    <w:lvl w:ilvl="6" w:tentative="0">
      <w:start w:val="1"/>
      <w:numFmt w:val="lowerRoman"/>
      <w:lvlText w:val="(%7)"/>
      <w:lvlJc w:val="left"/>
      <w:pPr>
        <w:tabs>
          <w:tab w:val="left" w:pos="5528"/>
        </w:tabs>
        <w:ind w:left="5102"/>
      </w:pPr>
      <w:rPr>
        <w:rFonts w:hint="eastAsia"/>
      </w:rPr>
    </w:lvl>
    <w:lvl w:ilvl="7" w:tentative="0">
      <w:start w:val="1"/>
      <w:numFmt w:val="lowerLetter"/>
      <w:lvlText w:val="(%8)"/>
      <w:lvlJc w:val="left"/>
      <w:pPr>
        <w:tabs>
          <w:tab w:val="left" w:pos="6378"/>
        </w:tabs>
        <w:ind w:left="5953"/>
      </w:pPr>
      <w:rPr>
        <w:rFonts w:hint="eastAsia"/>
      </w:rPr>
    </w:lvl>
    <w:lvl w:ilvl="8" w:tentative="0">
      <w:start w:val="1"/>
      <w:numFmt w:val="lowerRoman"/>
      <w:lvlText w:val="(%9)"/>
      <w:lvlJc w:val="left"/>
      <w:pPr>
        <w:tabs>
          <w:tab w:val="left" w:pos="7228"/>
        </w:tabs>
        <w:ind w:left="6803"/>
      </w:pPr>
      <w:rPr>
        <w:rFonts w:hint="eastAsia"/>
      </w:rPr>
    </w:lvl>
  </w:abstractNum>
  <w:abstractNum w:abstractNumId="6">
    <w:nsid w:val="351D613F"/>
    <w:multiLevelType w:val="multilevel"/>
    <w:tmpl w:val="351D613F"/>
    <w:lvl w:ilvl="0" w:tentative="0">
      <w:start w:val="1"/>
      <w:numFmt w:val="chineseCountingThousand"/>
      <w:lvlText w:val="%1、"/>
      <w:lvlJc w:val="left"/>
      <w:pPr>
        <w:tabs>
          <w:tab w:val="left" w:pos="425"/>
        </w:tabs>
        <w:ind w:left="0" w:firstLine="0"/>
      </w:pPr>
      <w:rPr>
        <w:rFonts w:hint="eastAsia"/>
      </w:rPr>
    </w:lvl>
    <w:lvl w:ilvl="1" w:tentative="0">
      <w:start w:val="1"/>
      <w:numFmt w:val="decimal"/>
      <w:lvlText w:val="%2."/>
      <w:lvlJc w:val="left"/>
      <w:pPr>
        <w:tabs>
          <w:tab w:val="left" w:pos="1276"/>
        </w:tabs>
        <w:ind w:left="850" w:firstLine="0"/>
      </w:pPr>
      <w:rPr>
        <w:rFonts w:hint="eastAsia"/>
      </w:rPr>
    </w:lvl>
    <w:lvl w:ilvl="2" w:tentative="0">
      <w:start w:val="1"/>
      <w:numFmt w:val="decimal"/>
      <w:lvlRestart w:val="0"/>
      <w:pStyle w:val="93"/>
      <w:lvlText w:val="(%3)"/>
      <w:lvlJc w:val="left"/>
      <w:pPr>
        <w:tabs>
          <w:tab w:val="left" w:pos="2268"/>
        </w:tabs>
        <w:ind w:left="1843" w:firstLine="0"/>
      </w:pPr>
      <w:rPr>
        <w:rFonts w:hint="eastAsia"/>
      </w:rPr>
    </w:lvl>
    <w:lvl w:ilvl="3" w:tentative="0">
      <w:start w:val="1"/>
      <w:numFmt w:val="decimal"/>
      <w:lvlText w:val="%4)"/>
      <w:lvlJc w:val="left"/>
      <w:pPr>
        <w:tabs>
          <w:tab w:val="left" w:pos="2976"/>
        </w:tabs>
        <w:ind w:left="2551" w:firstLine="0"/>
      </w:pPr>
      <w:rPr>
        <w:rFonts w:hint="eastAsia"/>
      </w:rPr>
    </w:lvl>
    <w:lvl w:ilvl="4" w:tentative="0">
      <w:start w:val="1"/>
      <w:numFmt w:val="upperLetter"/>
      <w:lvlText w:val="%5."/>
      <w:lvlJc w:val="left"/>
      <w:pPr>
        <w:tabs>
          <w:tab w:val="left" w:pos="3827"/>
        </w:tabs>
        <w:ind w:left="3402" w:firstLine="0"/>
      </w:pPr>
      <w:rPr>
        <w:rFonts w:hint="eastAsia"/>
      </w:rPr>
    </w:lvl>
    <w:lvl w:ilvl="5" w:tentative="0">
      <w:start w:val="1"/>
      <w:numFmt w:val="lowerLetter"/>
      <w:pStyle w:val="98"/>
      <w:lvlText w:val="%6)"/>
      <w:lvlJc w:val="left"/>
      <w:pPr>
        <w:tabs>
          <w:tab w:val="left" w:pos="4677"/>
        </w:tabs>
        <w:ind w:left="4252" w:firstLine="0"/>
      </w:pPr>
      <w:rPr>
        <w:rFonts w:hint="eastAsia"/>
      </w:rPr>
    </w:lvl>
    <w:lvl w:ilvl="6" w:tentative="0">
      <w:start w:val="1"/>
      <w:numFmt w:val="lowerRoman"/>
      <w:lvlText w:val="(%7)"/>
      <w:lvlJc w:val="left"/>
      <w:pPr>
        <w:tabs>
          <w:tab w:val="left" w:pos="5528"/>
        </w:tabs>
        <w:ind w:left="5102" w:firstLine="0"/>
      </w:pPr>
      <w:rPr>
        <w:rFonts w:hint="eastAsia"/>
      </w:rPr>
    </w:lvl>
    <w:lvl w:ilvl="7" w:tentative="0">
      <w:start w:val="1"/>
      <w:numFmt w:val="lowerLetter"/>
      <w:lvlText w:val="(%8)"/>
      <w:lvlJc w:val="left"/>
      <w:pPr>
        <w:tabs>
          <w:tab w:val="left" w:pos="6378"/>
        </w:tabs>
        <w:ind w:left="5953" w:firstLine="0"/>
      </w:pPr>
      <w:rPr>
        <w:rFonts w:hint="eastAsia"/>
      </w:rPr>
    </w:lvl>
    <w:lvl w:ilvl="8" w:tentative="0">
      <w:start w:val="1"/>
      <w:numFmt w:val="lowerRoman"/>
      <w:lvlText w:val="(%9)"/>
      <w:lvlJc w:val="left"/>
      <w:pPr>
        <w:tabs>
          <w:tab w:val="left" w:pos="7228"/>
        </w:tabs>
        <w:ind w:left="6803" w:firstLine="0"/>
      </w:pPr>
      <w:rPr>
        <w:rFonts w:hint="eastAsia"/>
      </w:rPr>
    </w:lvl>
  </w:abstractNum>
  <w:abstractNum w:abstractNumId="7">
    <w:nsid w:val="486058C1"/>
    <w:multiLevelType w:val="multilevel"/>
    <w:tmpl w:val="486058C1"/>
    <w:lvl w:ilvl="0" w:tentative="0">
      <w:start w:val="1"/>
      <w:numFmt w:val="decimal"/>
      <w:pStyle w:val="171"/>
      <w:lvlText w:val="%1."/>
      <w:lvlJc w:val="left"/>
      <w:pPr>
        <w:tabs>
          <w:tab w:val="left" w:pos="1073"/>
        </w:tabs>
        <w:ind w:left="-7" w:firstLine="547"/>
      </w:pPr>
      <w:rPr>
        <w:rFonts w:hint="eastAsia"/>
      </w:rPr>
    </w:lvl>
    <w:lvl w:ilvl="1" w:tentative="0">
      <w:start w:val="1"/>
      <w:numFmt w:val="lowerLetter"/>
      <w:lvlText w:val="%2)"/>
      <w:lvlJc w:val="left"/>
      <w:pPr>
        <w:tabs>
          <w:tab w:val="left" w:pos="1387"/>
        </w:tabs>
        <w:ind w:left="1387" w:hanging="420"/>
      </w:pPr>
    </w:lvl>
    <w:lvl w:ilvl="2" w:tentative="0">
      <w:start w:val="1"/>
      <w:numFmt w:val="lowerRoman"/>
      <w:lvlText w:val="%3."/>
      <w:lvlJc w:val="right"/>
      <w:pPr>
        <w:tabs>
          <w:tab w:val="left" w:pos="1807"/>
        </w:tabs>
        <w:ind w:left="1807" w:hanging="420"/>
      </w:pPr>
    </w:lvl>
    <w:lvl w:ilvl="3" w:tentative="0">
      <w:start w:val="1"/>
      <w:numFmt w:val="decimal"/>
      <w:lvlText w:val="%4."/>
      <w:lvlJc w:val="left"/>
      <w:pPr>
        <w:tabs>
          <w:tab w:val="left" w:pos="2227"/>
        </w:tabs>
        <w:ind w:left="2227" w:hanging="420"/>
      </w:pPr>
    </w:lvl>
    <w:lvl w:ilvl="4" w:tentative="0">
      <w:start w:val="1"/>
      <w:numFmt w:val="lowerLetter"/>
      <w:lvlText w:val="%5)"/>
      <w:lvlJc w:val="left"/>
      <w:pPr>
        <w:tabs>
          <w:tab w:val="left" w:pos="2647"/>
        </w:tabs>
        <w:ind w:left="2647" w:hanging="420"/>
      </w:pPr>
    </w:lvl>
    <w:lvl w:ilvl="5" w:tentative="0">
      <w:start w:val="1"/>
      <w:numFmt w:val="lowerRoman"/>
      <w:lvlText w:val="%6."/>
      <w:lvlJc w:val="right"/>
      <w:pPr>
        <w:tabs>
          <w:tab w:val="left" w:pos="3067"/>
        </w:tabs>
        <w:ind w:left="3067" w:hanging="420"/>
      </w:pPr>
    </w:lvl>
    <w:lvl w:ilvl="6" w:tentative="0">
      <w:start w:val="1"/>
      <w:numFmt w:val="decimal"/>
      <w:lvlText w:val="%7."/>
      <w:lvlJc w:val="left"/>
      <w:pPr>
        <w:tabs>
          <w:tab w:val="left" w:pos="3487"/>
        </w:tabs>
        <w:ind w:left="3487" w:hanging="420"/>
      </w:pPr>
    </w:lvl>
    <w:lvl w:ilvl="7" w:tentative="0">
      <w:start w:val="1"/>
      <w:numFmt w:val="lowerLetter"/>
      <w:lvlText w:val="%8)"/>
      <w:lvlJc w:val="left"/>
      <w:pPr>
        <w:tabs>
          <w:tab w:val="left" w:pos="3907"/>
        </w:tabs>
        <w:ind w:left="3907" w:hanging="420"/>
      </w:pPr>
    </w:lvl>
    <w:lvl w:ilvl="8" w:tentative="0">
      <w:start w:val="1"/>
      <w:numFmt w:val="lowerRoman"/>
      <w:lvlText w:val="%9."/>
      <w:lvlJc w:val="right"/>
      <w:pPr>
        <w:tabs>
          <w:tab w:val="left" w:pos="4327"/>
        </w:tabs>
        <w:ind w:left="4327" w:hanging="420"/>
      </w:pPr>
    </w:lvl>
  </w:abstractNum>
  <w:abstractNum w:abstractNumId="8">
    <w:nsid w:val="6CEA2025"/>
    <w:multiLevelType w:val="multilevel"/>
    <w:tmpl w:val="6CEA2025"/>
    <w:lvl w:ilvl="0" w:tentative="0">
      <w:start w:val="1"/>
      <w:numFmt w:val="none"/>
      <w:pStyle w:val="152"/>
      <w:suff w:val="nothing"/>
      <w:lvlText w:val="%1"/>
      <w:lvlJc w:val="left"/>
      <w:pPr>
        <w:ind w:left="0" w:firstLine="0"/>
      </w:pPr>
      <w:rPr>
        <w:rFonts w:hint="default" w:ascii="Times New Roman" w:hAnsi="Times New Roman"/>
        <w:b/>
        <w:i w:val="0"/>
        <w:sz w:val="21"/>
      </w:rPr>
    </w:lvl>
    <w:lvl w:ilvl="1" w:tentative="0">
      <w:start w:val="1"/>
      <w:numFmt w:val="decimal"/>
      <w:pStyle w:val="153"/>
      <w:suff w:val="nothing"/>
      <w:lvlText w:val="%1%2　"/>
      <w:lvlJc w:val="left"/>
      <w:pPr>
        <w:ind w:left="0" w:firstLine="0"/>
      </w:pPr>
      <w:rPr>
        <w:rFonts w:hint="eastAsia" w:ascii="黑体" w:hAnsi="Times New Roman" w:eastAsia="黑体"/>
        <w:b w:val="0"/>
        <w:i w:val="0"/>
        <w:sz w:val="21"/>
      </w:rPr>
    </w:lvl>
    <w:lvl w:ilvl="2" w:tentative="0">
      <w:start w:val="1"/>
      <w:numFmt w:val="decimal"/>
      <w:pStyle w:val="154"/>
      <w:suff w:val="nothing"/>
      <w:lvlText w:val="%1%2.%3　"/>
      <w:lvlJc w:val="left"/>
      <w:pPr>
        <w:ind w:left="0" w:firstLine="0"/>
      </w:pPr>
      <w:rPr>
        <w:rFonts w:hint="eastAsia" w:ascii="黑体" w:hAnsi="Times New Roman" w:eastAsia="黑体"/>
        <w:b w:val="0"/>
        <w:i w:val="0"/>
        <w:sz w:val="21"/>
      </w:rPr>
    </w:lvl>
    <w:lvl w:ilvl="3" w:tentative="0">
      <w:start w:val="1"/>
      <w:numFmt w:val="decimal"/>
      <w:pStyle w:val="155"/>
      <w:suff w:val="nothing"/>
      <w:lvlText w:val="%1%2.%3.%4　"/>
      <w:lvlJc w:val="left"/>
      <w:pPr>
        <w:ind w:left="0" w:firstLine="0"/>
      </w:pPr>
      <w:rPr>
        <w:rFonts w:hint="eastAsia" w:ascii="黑体" w:hAnsi="Times New Roman" w:eastAsia="黑体"/>
        <w:b w:val="0"/>
        <w:i w:val="0"/>
        <w:sz w:val="21"/>
      </w:rPr>
    </w:lvl>
    <w:lvl w:ilvl="4" w:tentative="0">
      <w:start w:val="1"/>
      <w:numFmt w:val="decimal"/>
      <w:pStyle w:val="156"/>
      <w:suff w:val="nothing"/>
      <w:lvlText w:val="%1%2.%3.%4.%5　"/>
      <w:lvlJc w:val="left"/>
      <w:pPr>
        <w:ind w:left="0" w:firstLine="0"/>
      </w:pPr>
      <w:rPr>
        <w:rFonts w:hint="eastAsia" w:ascii="黑体" w:hAnsi="Times New Roman" w:eastAsia="黑体"/>
        <w:b w:val="0"/>
        <w:i w:val="0"/>
        <w:sz w:val="21"/>
      </w:rPr>
    </w:lvl>
    <w:lvl w:ilvl="5" w:tentative="0">
      <w:start w:val="1"/>
      <w:numFmt w:val="decimal"/>
      <w:pStyle w:val="157"/>
      <w:suff w:val="nothing"/>
      <w:lvlText w:val="%1%2.%3.%4.%5.%6　"/>
      <w:lvlJc w:val="left"/>
      <w:pPr>
        <w:ind w:left="0" w:firstLine="0"/>
      </w:pPr>
      <w:rPr>
        <w:rFonts w:hint="eastAsia" w:ascii="黑体" w:hAnsi="Times New Roman" w:eastAsia="黑体"/>
        <w:b w:val="0"/>
        <w:i w:val="0"/>
        <w:sz w:val="21"/>
      </w:rPr>
    </w:lvl>
    <w:lvl w:ilvl="6" w:tentative="0">
      <w:start w:val="1"/>
      <w:numFmt w:val="decimal"/>
      <w:pStyle w:val="158"/>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DC97E32"/>
    <w:multiLevelType w:val="multilevel"/>
    <w:tmpl w:val="6DC97E32"/>
    <w:lvl w:ilvl="0" w:tentative="0">
      <w:start w:val="1"/>
      <w:numFmt w:val="decimal"/>
      <w:lvlText w:val="%1."/>
      <w:lvlJc w:val="left"/>
      <w:pPr>
        <w:tabs>
          <w:tab w:val="left" w:pos="420"/>
        </w:tabs>
        <w:ind w:left="420" w:hanging="420"/>
      </w:pPr>
    </w:lvl>
    <w:lvl w:ilvl="1" w:tentative="0">
      <w:start w:val="1"/>
      <w:numFmt w:val="bullet"/>
      <w:pStyle w:val="145"/>
      <w:lvlText w:val=""/>
      <w:lvlJc w:val="left"/>
      <w:pPr>
        <w:tabs>
          <w:tab w:val="left" w:pos="840"/>
        </w:tabs>
        <w:ind w:left="840" w:hanging="420"/>
      </w:pPr>
      <w:rPr>
        <w:rFonts w:hint="default" w:ascii="Wingdings" w:hAnsi="Wingdings"/>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71C429FD"/>
    <w:multiLevelType w:val="multilevel"/>
    <w:tmpl w:val="71C429FD"/>
    <w:lvl w:ilvl="0" w:tentative="0">
      <w:start w:val="1"/>
      <w:numFmt w:val="chineseCountingThousand"/>
      <w:lvlText w:val="%1、"/>
      <w:lvlJc w:val="left"/>
      <w:pPr>
        <w:tabs>
          <w:tab w:val="left" w:pos="425"/>
        </w:tabs>
        <w:ind w:left="0" w:firstLine="0"/>
      </w:pPr>
      <w:rPr>
        <w:rFonts w:hint="eastAsia"/>
      </w:rPr>
    </w:lvl>
    <w:lvl w:ilvl="1" w:tentative="0">
      <w:start w:val="1"/>
      <w:numFmt w:val="decimal"/>
      <w:lvlText w:val="%2."/>
      <w:lvlJc w:val="left"/>
      <w:pPr>
        <w:tabs>
          <w:tab w:val="left" w:pos="1276"/>
        </w:tabs>
        <w:ind w:left="850" w:firstLine="0"/>
      </w:pPr>
      <w:rPr>
        <w:rFonts w:hint="eastAsia"/>
      </w:rPr>
    </w:lvl>
    <w:lvl w:ilvl="2" w:tentative="0">
      <w:start w:val="1"/>
      <w:numFmt w:val="decimal"/>
      <w:lvlText w:val="(%3)"/>
      <w:lvlJc w:val="left"/>
      <w:pPr>
        <w:tabs>
          <w:tab w:val="left" w:pos="2126"/>
        </w:tabs>
        <w:ind w:left="1701" w:firstLine="0"/>
      </w:pPr>
      <w:rPr>
        <w:rFonts w:hint="eastAsia"/>
      </w:rPr>
    </w:lvl>
    <w:lvl w:ilvl="3" w:tentative="0">
      <w:start w:val="1"/>
      <w:numFmt w:val="decimal"/>
      <w:pStyle w:val="95"/>
      <w:lvlText w:val="%4)"/>
      <w:lvlJc w:val="left"/>
      <w:pPr>
        <w:tabs>
          <w:tab w:val="left" w:pos="2976"/>
        </w:tabs>
        <w:ind w:left="2551" w:firstLine="0"/>
      </w:pPr>
      <w:rPr>
        <w:rFonts w:hint="eastAsia"/>
      </w:rPr>
    </w:lvl>
    <w:lvl w:ilvl="4" w:tentative="0">
      <w:start w:val="1"/>
      <w:numFmt w:val="upperLetter"/>
      <w:lvlText w:val="%5."/>
      <w:lvlJc w:val="left"/>
      <w:pPr>
        <w:tabs>
          <w:tab w:val="left" w:pos="3827"/>
        </w:tabs>
        <w:ind w:left="3402" w:firstLine="0"/>
      </w:pPr>
      <w:rPr>
        <w:rFonts w:hint="eastAsia"/>
      </w:rPr>
    </w:lvl>
    <w:lvl w:ilvl="5" w:tentative="0">
      <w:start w:val="1"/>
      <w:numFmt w:val="lowerLetter"/>
      <w:lvlText w:val="(%6)"/>
      <w:lvlJc w:val="left"/>
      <w:pPr>
        <w:tabs>
          <w:tab w:val="left" w:pos="4677"/>
        </w:tabs>
        <w:ind w:left="4252" w:firstLine="0"/>
      </w:pPr>
      <w:rPr>
        <w:rFonts w:hint="eastAsia"/>
      </w:rPr>
    </w:lvl>
    <w:lvl w:ilvl="6" w:tentative="0">
      <w:start w:val="1"/>
      <w:numFmt w:val="lowerRoman"/>
      <w:lvlText w:val="(%7)"/>
      <w:lvlJc w:val="left"/>
      <w:pPr>
        <w:tabs>
          <w:tab w:val="left" w:pos="5528"/>
        </w:tabs>
        <w:ind w:left="5102" w:firstLine="0"/>
      </w:pPr>
      <w:rPr>
        <w:rFonts w:hint="eastAsia"/>
      </w:rPr>
    </w:lvl>
    <w:lvl w:ilvl="7" w:tentative="0">
      <w:start w:val="1"/>
      <w:numFmt w:val="lowerLetter"/>
      <w:lvlText w:val="(%8)"/>
      <w:lvlJc w:val="left"/>
      <w:pPr>
        <w:tabs>
          <w:tab w:val="left" w:pos="6378"/>
        </w:tabs>
        <w:ind w:left="5953" w:firstLine="0"/>
      </w:pPr>
      <w:rPr>
        <w:rFonts w:hint="eastAsia"/>
      </w:rPr>
    </w:lvl>
    <w:lvl w:ilvl="8" w:tentative="0">
      <w:start w:val="1"/>
      <w:numFmt w:val="lowerRoman"/>
      <w:lvlText w:val="(%9)"/>
      <w:lvlJc w:val="left"/>
      <w:pPr>
        <w:tabs>
          <w:tab w:val="left" w:pos="7228"/>
        </w:tabs>
        <w:ind w:left="6803" w:firstLine="0"/>
      </w:pPr>
      <w:rPr>
        <w:rFonts w:hint="eastAsia"/>
      </w:rPr>
    </w:lvl>
  </w:abstractNum>
  <w:abstractNum w:abstractNumId="11">
    <w:nsid w:val="738C0EC6"/>
    <w:multiLevelType w:val="multilevel"/>
    <w:tmpl w:val="738C0EC6"/>
    <w:lvl w:ilvl="0" w:tentative="0">
      <w:start w:val="1"/>
      <w:numFmt w:val="decimal"/>
      <w:lvlText w:val="%1."/>
      <w:lvlJc w:val="left"/>
      <w:pPr>
        <w:tabs>
          <w:tab w:val="left" w:pos="900"/>
        </w:tabs>
        <w:ind w:left="900" w:hanging="420"/>
      </w:pPr>
    </w:lvl>
    <w:lvl w:ilvl="1" w:tentative="0">
      <w:start w:val="1"/>
      <w:numFmt w:val="decimal"/>
      <w:lvlText w:val="(%2)"/>
      <w:lvlJc w:val="left"/>
      <w:pPr>
        <w:tabs>
          <w:tab w:val="left" w:pos="1320"/>
        </w:tabs>
        <w:ind w:left="1320" w:hanging="420"/>
      </w:pPr>
      <w:rPr>
        <w:rFonts w:hint="eastAsia"/>
      </w:r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decimal"/>
      <w:lvlText w:val="%5)"/>
      <w:lvlJc w:val="left"/>
      <w:pPr>
        <w:tabs>
          <w:tab w:val="left" w:pos="2580"/>
        </w:tabs>
        <w:ind w:left="2580" w:hanging="420"/>
      </w:pPr>
      <w:rPr>
        <w:rFonts w:hint="eastAsia"/>
      </w:rPr>
    </w:lvl>
    <w:lvl w:ilvl="5" w:tentative="0">
      <w:start w:val="1"/>
      <w:numFmt w:val="upperLetter"/>
      <w:lvlText w:val="%6."/>
      <w:lvlJc w:val="left"/>
      <w:pPr>
        <w:tabs>
          <w:tab w:val="left" w:pos="3000"/>
        </w:tabs>
        <w:ind w:left="3000" w:hanging="420"/>
      </w:pPr>
    </w:lvl>
    <w:lvl w:ilvl="6" w:tentative="0">
      <w:start w:val="1"/>
      <w:numFmt w:val="bullet"/>
      <w:pStyle w:val="99"/>
      <w:lvlText w:val=""/>
      <w:lvlJc w:val="left"/>
      <w:pPr>
        <w:tabs>
          <w:tab w:val="left" w:pos="3420"/>
        </w:tabs>
        <w:ind w:left="3420" w:hanging="420"/>
      </w:pPr>
      <w:rPr>
        <w:rFonts w:hint="default" w:ascii="Wingdings" w:hAnsi="Wingdings" w:cs="Wingdings"/>
      </w:r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num w:numId="1">
    <w:abstractNumId w:val="2"/>
  </w:num>
  <w:num w:numId="2">
    <w:abstractNumId w:val="6"/>
  </w:num>
  <w:num w:numId="3">
    <w:abstractNumId w:val="10"/>
  </w:num>
  <w:num w:numId="4">
    <w:abstractNumId w:val="4"/>
  </w:num>
  <w:num w:numId="5">
    <w:abstractNumId w:val="11"/>
  </w:num>
  <w:num w:numId="6">
    <w:abstractNumId w:val="3"/>
  </w:num>
  <w:num w:numId="7">
    <w:abstractNumId w:val="5"/>
  </w:num>
  <w:num w:numId="8">
    <w:abstractNumId w:val="9"/>
  </w:num>
  <w:num w:numId="9">
    <w:abstractNumId w:val="8"/>
  </w:num>
  <w:num w:numId="10">
    <w:abstractNumId w:val="7"/>
  </w:num>
  <w:num w:numId="11">
    <w:abstractNumId w:val="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hideSpelling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M1YjA4Yjc3YTI4ZDNiNWIwZDEwM2U2MzRjMTkwNWUifQ=="/>
  </w:docVars>
  <w:rsids>
    <w:rsidRoot w:val="0009789D"/>
    <w:rsid w:val="00000891"/>
    <w:rsid w:val="0000106E"/>
    <w:rsid w:val="0000300E"/>
    <w:rsid w:val="0000382F"/>
    <w:rsid w:val="000040F5"/>
    <w:rsid w:val="00005422"/>
    <w:rsid w:val="0000544C"/>
    <w:rsid w:val="00005D8C"/>
    <w:rsid w:val="000066E9"/>
    <w:rsid w:val="0001044B"/>
    <w:rsid w:val="00011000"/>
    <w:rsid w:val="00011490"/>
    <w:rsid w:val="00011794"/>
    <w:rsid w:val="000141ED"/>
    <w:rsid w:val="00014737"/>
    <w:rsid w:val="000148EA"/>
    <w:rsid w:val="00014E23"/>
    <w:rsid w:val="0001644A"/>
    <w:rsid w:val="00020BB7"/>
    <w:rsid w:val="00021CF0"/>
    <w:rsid w:val="00021E8F"/>
    <w:rsid w:val="000220DB"/>
    <w:rsid w:val="000226CE"/>
    <w:rsid w:val="00022FB2"/>
    <w:rsid w:val="0002391A"/>
    <w:rsid w:val="000241FF"/>
    <w:rsid w:val="0002463B"/>
    <w:rsid w:val="00026A66"/>
    <w:rsid w:val="00026E48"/>
    <w:rsid w:val="000276C2"/>
    <w:rsid w:val="00027B9A"/>
    <w:rsid w:val="0003006B"/>
    <w:rsid w:val="000301A6"/>
    <w:rsid w:val="00030496"/>
    <w:rsid w:val="00030CCE"/>
    <w:rsid w:val="0003202F"/>
    <w:rsid w:val="00033865"/>
    <w:rsid w:val="000342B9"/>
    <w:rsid w:val="000344BC"/>
    <w:rsid w:val="0003595E"/>
    <w:rsid w:val="0003690E"/>
    <w:rsid w:val="00037CA0"/>
    <w:rsid w:val="0004017D"/>
    <w:rsid w:val="00040E8F"/>
    <w:rsid w:val="00041D4D"/>
    <w:rsid w:val="00042731"/>
    <w:rsid w:val="00042C5F"/>
    <w:rsid w:val="0004305B"/>
    <w:rsid w:val="00043512"/>
    <w:rsid w:val="0004400C"/>
    <w:rsid w:val="00044643"/>
    <w:rsid w:val="000451B9"/>
    <w:rsid w:val="000477C0"/>
    <w:rsid w:val="00047F14"/>
    <w:rsid w:val="00050188"/>
    <w:rsid w:val="0005061B"/>
    <w:rsid w:val="0005187F"/>
    <w:rsid w:val="00051BB9"/>
    <w:rsid w:val="00052365"/>
    <w:rsid w:val="00053FDA"/>
    <w:rsid w:val="0005522F"/>
    <w:rsid w:val="000562A8"/>
    <w:rsid w:val="0005669F"/>
    <w:rsid w:val="000572C3"/>
    <w:rsid w:val="00057A4F"/>
    <w:rsid w:val="00060C32"/>
    <w:rsid w:val="000612DD"/>
    <w:rsid w:val="0006160B"/>
    <w:rsid w:val="00063C14"/>
    <w:rsid w:val="00063E2D"/>
    <w:rsid w:val="00063EBE"/>
    <w:rsid w:val="000652AD"/>
    <w:rsid w:val="00065764"/>
    <w:rsid w:val="00065790"/>
    <w:rsid w:val="0007046F"/>
    <w:rsid w:val="00071139"/>
    <w:rsid w:val="0007186B"/>
    <w:rsid w:val="000726D0"/>
    <w:rsid w:val="00072D90"/>
    <w:rsid w:val="00074776"/>
    <w:rsid w:val="000749C3"/>
    <w:rsid w:val="00074F3D"/>
    <w:rsid w:val="00075518"/>
    <w:rsid w:val="00076DB0"/>
    <w:rsid w:val="00076E13"/>
    <w:rsid w:val="0007717A"/>
    <w:rsid w:val="00077645"/>
    <w:rsid w:val="00077668"/>
    <w:rsid w:val="000778BE"/>
    <w:rsid w:val="00080D59"/>
    <w:rsid w:val="000814DE"/>
    <w:rsid w:val="00081AA0"/>
    <w:rsid w:val="00082127"/>
    <w:rsid w:val="00082618"/>
    <w:rsid w:val="00082FE2"/>
    <w:rsid w:val="00084172"/>
    <w:rsid w:val="00084789"/>
    <w:rsid w:val="000848E4"/>
    <w:rsid w:val="000848F9"/>
    <w:rsid w:val="000849FF"/>
    <w:rsid w:val="00084B3F"/>
    <w:rsid w:val="00084D56"/>
    <w:rsid w:val="00085CE5"/>
    <w:rsid w:val="00086F40"/>
    <w:rsid w:val="00087867"/>
    <w:rsid w:val="00090136"/>
    <w:rsid w:val="00090D64"/>
    <w:rsid w:val="000912C6"/>
    <w:rsid w:val="00091DDE"/>
    <w:rsid w:val="00092556"/>
    <w:rsid w:val="00093B6A"/>
    <w:rsid w:val="00094B78"/>
    <w:rsid w:val="000955B7"/>
    <w:rsid w:val="00095CB3"/>
    <w:rsid w:val="0009612B"/>
    <w:rsid w:val="00096B7A"/>
    <w:rsid w:val="00096C0D"/>
    <w:rsid w:val="00096CDA"/>
    <w:rsid w:val="0009789D"/>
    <w:rsid w:val="00097CB5"/>
    <w:rsid w:val="00097F55"/>
    <w:rsid w:val="000A3FA5"/>
    <w:rsid w:val="000A45EF"/>
    <w:rsid w:val="000A48A1"/>
    <w:rsid w:val="000A4B1B"/>
    <w:rsid w:val="000A52F7"/>
    <w:rsid w:val="000A7C71"/>
    <w:rsid w:val="000B01D4"/>
    <w:rsid w:val="000B0D20"/>
    <w:rsid w:val="000B1BF1"/>
    <w:rsid w:val="000B306F"/>
    <w:rsid w:val="000B30D8"/>
    <w:rsid w:val="000B3352"/>
    <w:rsid w:val="000B3A2C"/>
    <w:rsid w:val="000B54B0"/>
    <w:rsid w:val="000B58CA"/>
    <w:rsid w:val="000B5D6A"/>
    <w:rsid w:val="000B7C82"/>
    <w:rsid w:val="000C0A7F"/>
    <w:rsid w:val="000C1AEE"/>
    <w:rsid w:val="000C2665"/>
    <w:rsid w:val="000C4509"/>
    <w:rsid w:val="000C46ED"/>
    <w:rsid w:val="000C51F7"/>
    <w:rsid w:val="000C59BC"/>
    <w:rsid w:val="000C642B"/>
    <w:rsid w:val="000C6437"/>
    <w:rsid w:val="000C6AD0"/>
    <w:rsid w:val="000C73B7"/>
    <w:rsid w:val="000D0D30"/>
    <w:rsid w:val="000D0E43"/>
    <w:rsid w:val="000D1057"/>
    <w:rsid w:val="000D175C"/>
    <w:rsid w:val="000D1D55"/>
    <w:rsid w:val="000D3100"/>
    <w:rsid w:val="000D389A"/>
    <w:rsid w:val="000D3D73"/>
    <w:rsid w:val="000D4132"/>
    <w:rsid w:val="000D4606"/>
    <w:rsid w:val="000D4656"/>
    <w:rsid w:val="000D706C"/>
    <w:rsid w:val="000D73D1"/>
    <w:rsid w:val="000D7714"/>
    <w:rsid w:val="000E235A"/>
    <w:rsid w:val="000E3990"/>
    <w:rsid w:val="000E4A95"/>
    <w:rsid w:val="000E5C0A"/>
    <w:rsid w:val="000E6111"/>
    <w:rsid w:val="000E6B21"/>
    <w:rsid w:val="000F064A"/>
    <w:rsid w:val="000F0782"/>
    <w:rsid w:val="000F09E5"/>
    <w:rsid w:val="000F0FEF"/>
    <w:rsid w:val="000F1244"/>
    <w:rsid w:val="000F1927"/>
    <w:rsid w:val="000F1D53"/>
    <w:rsid w:val="000F290B"/>
    <w:rsid w:val="000F3577"/>
    <w:rsid w:val="000F4B0F"/>
    <w:rsid w:val="000F59AA"/>
    <w:rsid w:val="000F6E8A"/>
    <w:rsid w:val="000F7938"/>
    <w:rsid w:val="0010007C"/>
    <w:rsid w:val="0010091B"/>
    <w:rsid w:val="00100AAD"/>
    <w:rsid w:val="00101443"/>
    <w:rsid w:val="001015E1"/>
    <w:rsid w:val="00101A55"/>
    <w:rsid w:val="00101E36"/>
    <w:rsid w:val="00102841"/>
    <w:rsid w:val="00102BC3"/>
    <w:rsid w:val="001036F4"/>
    <w:rsid w:val="00103A37"/>
    <w:rsid w:val="00103D39"/>
    <w:rsid w:val="00103F64"/>
    <w:rsid w:val="00105210"/>
    <w:rsid w:val="00106537"/>
    <w:rsid w:val="00110BC5"/>
    <w:rsid w:val="0011139A"/>
    <w:rsid w:val="001114FA"/>
    <w:rsid w:val="0011198A"/>
    <w:rsid w:val="00112045"/>
    <w:rsid w:val="0011288D"/>
    <w:rsid w:val="001135AE"/>
    <w:rsid w:val="00114232"/>
    <w:rsid w:val="0011426E"/>
    <w:rsid w:val="00115180"/>
    <w:rsid w:val="0011589D"/>
    <w:rsid w:val="00115A49"/>
    <w:rsid w:val="00115BF1"/>
    <w:rsid w:val="00115E68"/>
    <w:rsid w:val="001167D7"/>
    <w:rsid w:val="00116A8D"/>
    <w:rsid w:val="00116A9C"/>
    <w:rsid w:val="00117072"/>
    <w:rsid w:val="00117097"/>
    <w:rsid w:val="00117A4F"/>
    <w:rsid w:val="001202B2"/>
    <w:rsid w:val="001205C7"/>
    <w:rsid w:val="00120896"/>
    <w:rsid w:val="001224D7"/>
    <w:rsid w:val="00122936"/>
    <w:rsid w:val="00122CAF"/>
    <w:rsid w:val="0012322A"/>
    <w:rsid w:val="00123EDF"/>
    <w:rsid w:val="00125570"/>
    <w:rsid w:val="00125B80"/>
    <w:rsid w:val="00126A58"/>
    <w:rsid w:val="00126C77"/>
    <w:rsid w:val="00127650"/>
    <w:rsid w:val="00130026"/>
    <w:rsid w:val="0013007D"/>
    <w:rsid w:val="00130FE5"/>
    <w:rsid w:val="001312D9"/>
    <w:rsid w:val="00131307"/>
    <w:rsid w:val="0013159A"/>
    <w:rsid w:val="00131B36"/>
    <w:rsid w:val="00132126"/>
    <w:rsid w:val="00132426"/>
    <w:rsid w:val="0013342B"/>
    <w:rsid w:val="00134096"/>
    <w:rsid w:val="001343B8"/>
    <w:rsid w:val="001343DA"/>
    <w:rsid w:val="00135275"/>
    <w:rsid w:val="00135585"/>
    <w:rsid w:val="00135658"/>
    <w:rsid w:val="00135814"/>
    <w:rsid w:val="00136B68"/>
    <w:rsid w:val="00136E8E"/>
    <w:rsid w:val="00137558"/>
    <w:rsid w:val="00141081"/>
    <w:rsid w:val="001415B7"/>
    <w:rsid w:val="00141A60"/>
    <w:rsid w:val="00143AB4"/>
    <w:rsid w:val="00143CDB"/>
    <w:rsid w:val="001462CC"/>
    <w:rsid w:val="001469BA"/>
    <w:rsid w:val="001474A3"/>
    <w:rsid w:val="00150112"/>
    <w:rsid w:val="00150D16"/>
    <w:rsid w:val="00151F87"/>
    <w:rsid w:val="00153306"/>
    <w:rsid w:val="00153AB0"/>
    <w:rsid w:val="00153B3D"/>
    <w:rsid w:val="00154618"/>
    <w:rsid w:val="001548EB"/>
    <w:rsid w:val="00154C2C"/>
    <w:rsid w:val="00154DAD"/>
    <w:rsid w:val="001565D8"/>
    <w:rsid w:val="00157C5D"/>
    <w:rsid w:val="001606B8"/>
    <w:rsid w:val="00160F27"/>
    <w:rsid w:val="00161600"/>
    <w:rsid w:val="001617B9"/>
    <w:rsid w:val="0016240E"/>
    <w:rsid w:val="00162B93"/>
    <w:rsid w:val="001638A8"/>
    <w:rsid w:val="00163D84"/>
    <w:rsid w:val="00165312"/>
    <w:rsid w:val="001653B6"/>
    <w:rsid w:val="00165592"/>
    <w:rsid w:val="00167263"/>
    <w:rsid w:val="00167385"/>
    <w:rsid w:val="00171B89"/>
    <w:rsid w:val="0017202D"/>
    <w:rsid w:val="00172758"/>
    <w:rsid w:val="00172C3A"/>
    <w:rsid w:val="0017391D"/>
    <w:rsid w:val="00173AFE"/>
    <w:rsid w:val="00173B2C"/>
    <w:rsid w:val="00173D9B"/>
    <w:rsid w:val="001740E9"/>
    <w:rsid w:val="00175717"/>
    <w:rsid w:val="0017748F"/>
    <w:rsid w:val="001806DB"/>
    <w:rsid w:val="00181081"/>
    <w:rsid w:val="00181158"/>
    <w:rsid w:val="00184A96"/>
    <w:rsid w:val="00186254"/>
    <w:rsid w:val="00186380"/>
    <w:rsid w:val="001904AE"/>
    <w:rsid w:val="00191527"/>
    <w:rsid w:val="00191B5B"/>
    <w:rsid w:val="00191C18"/>
    <w:rsid w:val="001925DA"/>
    <w:rsid w:val="001932B4"/>
    <w:rsid w:val="00195568"/>
    <w:rsid w:val="001958E5"/>
    <w:rsid w:val="00195B1E"/>
    <w:rsid w:val="00196800"/>
    <w:rsid w:val="00196D6F"/>
    <w:rsid w:val="001A0537"/>
    <w:rsid w:val="001A0E18"/>
    <w:rsid w:val="001A168C"/>
    <w:rsid w:val="001A182F"/>
    <w:rsid w:val="001A231B"/>
    <w:rsid w:val="001A2836"/>
    <w:rsid w:val="001A4618"/>
    <w:rsid w:val="001A4913"/>
    <w:rsid w:val="001A4960"/>
    <w:rsid w:val="001A6E8A"/>
    <w:rsid w:val="001A7CBA"/>
    <w:rsid w:val="001B0630"/>
    <w:rsid w:val="001B3E94"/>
    <w:rsid w:val="001B44CA"/>
    <w:rsid w:val="001B4745"/>
    <w:rsid w:val="001B4928"/>
    <w:rsid w:val="001B7D5C"/>
    <w:rsid w:val="001C0BA8"/>
    <w:rsid w:val="001C130D"/>
    <w:rsid w:val="001C13C8"/>
    <w:rsid w:val="001C13D9"/>
    <w:rsid w:val="001C1878"/>
    <w:rsid w:val="001C2209"/>
    <w:rsid w:val="001C261D"/>
    <w:rsid w:val="001C2B30"/>
    <w:rsid w:val="001C3B80"/>
    <w:rsid w:val="001C3F13"/>
    <w:rsid w:val="001C419D"/>
    <w:rsid w:val="001C48BA"/>
    <w:rsid w:val="001C4AF5"/>
    <w:rsid w:val="001C4BB8"/>
    <w:rsid w:val="001C5606"/>
    <w:rsid w:val="001C57B1"/>
    <w:rsid w:val="001C58A8"/>
    <w:rsid w:val="001C704B"/>
    <w:rsid w:val="001D1A24"/>
    <w:rsid w:val="001D1EBE"/>
    <w:rsid w:val="001D310D"/>
    <w:rsid w:val="001D395E"/>
    <w:rsid w:val="001D3993"/>
    <w:rsid w:val="001D3A8C"/>
    <w:rsid w:val="001D4A1A"/>
    <w:rsid w:val="001D4BF2"/>
    <w:rsid w:val="001D4EB3"/>
    <w:rsid w:val="001D64EF"/>
    <w:rsid w:val="001D784D"/>
    <w:rsid w:val="001D78DD"/>
    <w:rsid w:val="001E05A9"/>
    <w:rsid w:val="001E0EF1"/>
    <w:rsid w:val="001E2E02"/>
    <w:rsid w:val="001E3589"/>
    <w:rsid w:val="001E550D"/>
    <w:rsid w:val="001E5E4E"/>
    <w:rsid w:val="001E6819"/>
    <w:rsid w:val="001E6DC4"/>
    <w:rsid w:val="001E6F1A"/>
    <w:rsid w:val="001E7287"/>
    <w:rsid w:val="001F027D"/>
    <w:rsid w:val="001F056E"/>
    <w:rsid w:val="001F0D9A"/>
    <w:rsid w:val="001F0DA5"/>
    <w:rsid w:val="001F1021"/>
    <w:rsid w:val="001F12E2"/>
    <w:rsid w:val="001F2691"/>
    <w:rsid w:val="001F3456"/>
    <w:rsid w:val="001F37AA"/>
    <w:rsid w:val="001F46B6"/>
    <w:rsid w:val="001F497D"/>
    <w:rsid w:val="001F56E9"/>
    <w:rsid w:val="001F58C8"/>
    <w:rsid w:val="001F5D85"/>
    <w:rsid w:val="001F6691"/>
    <w:rsid w:val="001F6BCC"/>
    <w:rsid w:val="00200811"/>
    <w:rsid w:val="00200B75"/>
    <w:rsid w:val="0020196D"/>
    <w:rsid w:val="00202330"/>
    <w:rsid w:val="00202721"/>
    <w:rsid w:val="00202B7F"/>
    <w:rsid w:val="00202D13"/>
    <w:rsid w:val="002034C0"/>
    <w:rsid w:val="002039B2"/>
    <w:rsid w:val="00205F56"/>
    <w:rsid w:val="0020600C"/>
    <w:rsid w:val="00206A11"/>
    <w:rsid w:val="00206CE4"/>
    <w:rsid w:val="00206FB1"/>
    <w:rsid w:val="00210133"/>
    <w:rsid w:val="0021125D"/>
    <w:rsid w:val="002118DC"/>
    <w:rsid w:val="00211EB9"/>
    <w:rsid w:val="0021432C"/>
    <w:rsid w:val="002144C7"/>
    <w:rsid w:val="00214E9D"/>
    <w:rsid w:val="002154BD"/>
    <w:rsid w:val="0021614F"/>
    <w:rsid w:val="00216E2E"/>
    <w:rsid w:val="00217DE4"/>
    <w:rsid w:val="00220C3A"/>
    <w:rsid w:val="00220DC3"/>
    <w:rsid w:val="00221220"/>
    <w:rsid w:val="00221CD2"/>
    <w:rsid w:val="0022231E"/>
    <w:rsid w:val="002223BF"/>
    <w:rsid w:val="002223F7"/>
    <w:rsid w:val="002228CC"/>
    <w:rsid w:val="00223907"/>
    <w:rsid w:val="0022444D"/>
    <w:rsid w:val="0022541B"/>
    <w:rsid w:val="002255E4"/>
    <w:rsid w:val="00225AF3"/>
    <w:rsid w:val="00226521"/>
    <w:rsid w:val="00227777"/>
    <w:rsid w:val="00230156"/>
    <w:rsid w:val="00233C5C"/>
    <w:rsid w:val="00234400"/>
    <w:rsid w:val="00235378"/>
    <w:rsid w:val="002353EE"/>
    <w:rsid w:val="00235447"/>
    <w:rsid w:val="00236E12"/>
    <w:rsid w:val="00237386"/>
    <w:rsid w:val="002375E7"/>
    <w:rsid w:val="00237B98"/>
    <w:rsid w:val="00237F28"/>
    <w:rsid w:val="002405F6"/>
    <w:rsid w:val="00240A69"/>
    <w:rsid w:val="002413E3"/>
    <w:rsid w:val="00241903"/>
    <w:rsid w:val="00242777"/>
    <w:rsid w:val="002435B8"/>
    <w:rsid w:val="00244027"/>
    <w:rsid w:val="00244D92"/>
    <w:rsid w:val="00244F7C"/>
    <w:rsid w:val="00245850"/>
    <w:rsid w:val="002463D2"/>
    <w:rsid w:val="00246E23"/>
    <w:rsid w:val="0024797F"/>
    <w:rsid w:val="002506DC"/>
    <w:rsid w:val="00250FC7"/>
    <w:rsid w:val="002529CD"/>
    <w:rsid w:val="00252AD3"/>
    <w:rsid w:val="002531EA"/>
    <w:rsid w:val="00253384"/>
    <w:rsid w:val="00254995"/>
    <w:rsid w:val="00254F80"/>
    <w:rsid w:val="00255341"/>
    <w:rsid w:val="00255598"/>
    <w:rsid w:val="00260850"/>
    <w:rsid w:val="00260D28"/>
    <w:rsid w:val="0026105D"/>
    <w:rsid w:val="00261E30"/>
    <w:rsid w:val="0026213A"/>
    <w:rsid w:val="00262298"/>
    <w:rsid w:val="00266922"/>
    <w:rsid w:val="00266FFE"/>
    <w:rsid w:val="0026786D"/>
    <w:rsid w:val="00267FD2"/>
    <w:rsid w:val="00270B6D"/>
    <w:rsid w:val="00270E08"/>
    <w:rsid w:val="002718B4"/>
    <w:rsid w:val="00271D40"/>
    <w:rsid w:val="00271F04"/>
    <w:rsid w:val="0027242D"/>
    <w:rsid w:val="002729FF"/>
    <w:rsid w:val="0027358D"/>
    <w:rsid w:val="002740CA"/>
    <w:rsid w:val="00275A54"/>
    <w:rsid w:val="00275A6C"/>
    <w:rsid w:val="00276254"/>
    <w:rsid w:val="00276A11"/>
    <w:rsid w:val="0027713B"/>
    <w:rsid w:val="002779FE"/>
    <w:rsid w:val="0028028F"/>
    <w:rsid w:val="0028036A"/>
    <w:rsid w:val="00280A08"/>
    <w:rsid w:val="00280EF6"/>
    <w:rsid w:val="002818AB"/>
    <w:rsid w:val="002819F1"/>
    <w:rsid w:val="002820B6"/>
    <w:rsid w:val="00282145"/>
    <w:rsid w:val="002843A9"/>
    <w:rsid w:val="0028453F"/>
    <w:rsid w:val="002879A7"/>
    <w:rsid w:val="00287F33"/>
    <w:rsid w:val="002903F9"/>
    <w:rsid w:val="0029411C"/>
    <w:rsid w:val="00294A1D"/>
    <w:rsid w:val="00294D1E"/>
    <w:rsid w:val="00295059"/>
    <w:rsid w:val="00295BAA"/>
    <w:rsid w:val="0029693D"/>
    <w:rsid w:val="0029722C"/>
    <w:rsid w:val="0029769B"/>
    <w:rsid w:val="002978AB"/>
    <w:rsid w:val="00297940"/>
    <w:rsid w:val="002A022E"/>
    <w:rsid w:val="002A0479"/>
    <w:rsid w:val="002A20E6"/>
    <w:rsid w:val="002A3AFD"/>
    <w:rsid w:val="002A3DFA"/>
    <w:rsid w:val="002A457B"/>
    <w:rsid w:val="002A495B"/>
    <w:rsid w:val="002A4F44"/>
    <w:rsid w:val="002A55C2"/>
    <w:rsid w:val="002A588A"/>
    <w:rsid w:val="002A5E3E"/>
    <w:rsid w:val="002A5F89"/>
    <w:rsid w:val="002A6643"/>
    <w:rsid w:val="002A6CBB"/>
    <w:rsid w:val="002A71EA"/>
    <w:rsid w:val="002A730C"/>
    <w:rsid w:val="002B0AE4"/>
    <w:rsid w:val="002B137C"/>
    <w:rsid w:val="002B19B4"/>
    <w:rsid w:val="002B2736"/>
    <w:rsid w:val="002B4BCE"/>
    <w:rsid w:val="002B520B"/>
    <w:rsid w:val="002B521F"/>
    <w:rsid w:val="002B639E"/>
    <w:rsid w:val="002B68EC"/>
    <w:rsid w:val="002B6A8A"/>
    <w:rsid w:val="002B709F"/>
    <w:rsid w:val="002B7B77"/>
    <w:rsid w:val="002C00FD"/>
    <w:rsid w:val="002C070C"/>
    <w:rsid w:val="002C097A"/>
    <w:rsid w:val="002C0C7D"/>
    <w:rsid w:val="002C0EA9"/>
    <w:rsid w:val="002C123E"/>
    <w:rsid w:val="002C1927"/>
    <w:rsid w:val="002C1AB8"/>
    <w:rsid w:val="002C1BB0"/>
    <w:rsid w:val="002C1D12"/>
    <w:rsid w:val="002C1E82"/>
    <w:rsid w:val="002C3043"/>
    <w:rsid w:val="002C363E"/>
    <w:rsid w:val="002C4432"/>
    <w:rsid w:val="002C47C6"/>
    <w:rsid w:val="002C5BE5"/>
    <w:rsid w:val="002C5E63"/>
    <w:rsid w:val="002C6506"/>
    <w:rsid w:val="002C6691"/>
    <w:rsid w:val="002C688B"/>
    <w:rsid w:val="002C68B0"/>
    <w:rsid w:val="002C7230"/>
    <w:rsid w:val="002C7A2E"/>
    <w:rsid w:val="002C7B1B"/>
    <w:rsid w:val="002D02D9"/>
    <w:rsid w:val="002D0A9B"/>
    <w:rsid w:val="002D1A5D"/>
    <w:rsid w:val="002D1CAD"/>
    <w:rsid w:val="002D2F73"/>
    <w:rsid w:val="002D3A25"/>
    <w:rsid w:val="002D4881"/>
    <w:rsid w:val="002D4CB1"/>
    <w:rsid w:val="002D7B31"/>
    <w:rsid w:val="002D7F91"/>
    <w:rsid w:val="002E184A"/>
    <w:rsid w:val="002E236D"/>
    <w:rsid w:val="002E25AE"/>
    <w:rsid w:val="002E2B32"/>
    <w:rsid w:val="002E2C1F"/>
    <w:rsid w:val="002E37BD"/>
    <w:rsid w:val="002E60BB"/>
    <w:rsid w:val="002E60C0"/>
    <w:rsid w:val="002E6A5F"/>
    <w:rsid w:val="002E6B6B"/>
    <w:rsid w:val="002E70C3"/>
    <w:rsid w:val="002E716C"/>
    <w:rsid w:val="002F0359"/>
    <w:rsid w:val="002F0840"/>
    <w:rsid w:val="002F0A4B"/>
    <w:rsid w:val="002F189A"/>
    <w:rsid w:val="002F19FA"/>
    <w:rsid w:val="002F2163"/>
    <w:rsid w:val="002F2739"/>
    <w:rsid w:val="002F2DAE"/>
    <w:rsid w:val="002F5351"/>
    <w:rsid w:val="002F79E2"/>
    <w:rsid w:val="003023FF"/>
    <w:rsid w:val="00302E33"/>
    <w:rsid w:val="0030310D"/>
    <w:rsid w:val="003041E8"/>
    <w:rsid w:val="00304C16"/>
    <w:rsid w:val="003052F1"/>
    <w:rsid w:val="00306587"/>
    <w:rsid w:val="00306769"/>
    <w:rsid w:val="00306A70"/>
    <w:rsid w:val="003076C4"/>
    <w:rsid w:val="00307C32"/>
    <w:rsid w:val="00307E1D"/>
    <w:rsid w:val="00311044"/>
    <w:rsid w:val="0031129C"/>
    <w:rsid w:val="00311756"/>
    <w:rsid w:val="00311A1E"/>
    <w:rsid w:val="003130E9"/>
    <w:rsid w:val="00313BCB"/>
    <w:rsid w:val="00314809"/>
    <w:rsid w:val="00314FFF"/>
    <w:rsid w:val="003157A0"/>
    <w:rsid w:val="00315B40"/>
    <w:rsid w:val="00315C16"/>
    <w:rsid w:val="00315CC4"/>
    <w:rsid w:val="00316B14"/>
    <w:rsid w:val="00317ADA"/>
    <w:rsid w:val="003226EB"/>
    <w:rsid w:val="003245F2"/>
    <w:rsid w:val="00324BE7"/>
    <w:rsid w:val="00324E31"/>
    <w:rsid w:val="00325598"/>
    <w:rsid w:val="00325871"/>
    <w:rsid w:val="00325B2A"/>
    <w:rsid w:val="0033180E"/>
    <w:rsid w:val="003320CC"/>
    <w:rsid w:val="00332392"/>
    <w:rsid w:val="00332A40"/>
    <w:rsid w:val="00333C69"/>
    <w:rsid w:val="003347FD"/>
    <w:rsid w:val="00335222"/>
    <w:rsid w:val="00335865"/>
    <w:rsid w:val="0033602F"/>
    <w:rsid w:val="00336090"/>
    <w:rsid w:val="003374C2"/>
    <w:rsid w:val="00337690"/>
    <w:rsid w:val="00337D5B"/>
    <w:rsid w:val="003409C5"/>
    <w:rsid w:val="00341615"/>
    <w:rsid w:val="00341D86"/>
    <w:rsid w:val="00342258"/>
    <w:rsid w:val="00342564"/>
    <w:rsid w:val="00344097"/>
    <w:rsid w:val="0034431B"/>
    <w:rsid w:val="003449A0"/>
    <w:rsid w:val="00344B0F"/>
    <w:rsid w:val="003458D1"/>
    <w:rsid w:val="00345B61"/>
    <w:rsid w:val="00346801"/>
    <w:rsid w:val="00346854"/>
    <w:rsid w:val="0034702B"/>
    <w:rsid w:val="00347A45"/>
    <w:rsid w:val="00347AE1"/>
    <w:rsid w:val="0035049F"/>
    <w:rsid w:val="00350C70"/>
    <w:rsid w:val="00350D23"/>
    <w:rsid w:val="00351501"/>
    <w:rsid w:val="00351A7D"/>
    <w:rsid w:val="0035255D"/>
    <w:rsid w:val="003526CA"/>
    <w:rsid w:val="0035342B"/>
    <w:rsid w:val="003535E1"/>
    <w:rsid w:val="003544B7"/>
    <w:rsid w:val="0035542F"/>
    <w:rsid w:val="003561BA"/>
    <w:rsid w:val="0035638B"/>
    <w:rsid w:val="00356C9A"/>
    <w:rsid w:val="003572E8"/>
    <w:rsid w:val="00360585"/>
    <w:rsid w:val="003605C0"/>
    <w:rsid w:val="0036160B"/>
    <w:rsid w:val="00361889"/>
    <w:rsid w:val="00361EA0"/>
    <w:rsid w:val="00362B34"/>
    <w:rsid w:val="0036398A"/>
    <w:rsid w:val="00363C4A"/>
    <w:rsid w:val="00363DE9"/>
    <w:rsid w:val="00363DFB"/>
    <w:rsid w:val="003647B2"/>
    <w:rsid w:val="00364A54"/>
    <w:rsid w:val="00365A02"/>
    <w:rsid w:val="003661A0"/>
    <w:rsid w:val="00367A85"/>
    <w:rsid w:val="00367D1E"/>
    <w:rsid w:val="00370B6F"/>
    <w:rsid w:val="003716B8"/>
    <w:rsid w:val="00371914"/>
    <w:rsid w:val="0037245F"/>
    <w:rsid w:val="00372D29"/>
    <w:rsid w:val="003733FF"/>
    <w:rsid w:val="003739D6"/>
    <w:rsid w:val="00373D77"/>
    <w:rsid w:val="003740B3"/>
    <w:rsid w:val="003745A7"/>
    <w:rsid w:val="00375763"/>
    <w:rsid w:val="00375DD3"/>
    <w:rsid w:val="003771E3"/>
    <w:rsid w:val="003773D7"/>
    <w:rsid w:val="0037750E"/>
    <w:rsid w:val="003807D0"/>
    <w:rsid w:val="0038085F"/>
    <w:rsid w:val="003811A8"/>
    <w:rsid w:val="003817E3"/>
    <w:rsid w:val="003835A7"/>
    <w:rsid w:val="00383BD2"/>
    <w:rsid w:val="00384400"/>
    <w:rsid w:val="00385D11"/>
    <w:rsid w:val="00386666"/>
    <w:rsid w:val="00386DBC"/>
    <w:rsid w:val="0038763E"/>
    <w:rsid w:val="003906BB"/>
    <w:rsid w:val="00390E36"/>
    <w:rsid w:val="00391653"/>
    <w:rsid w:val="003919EE"/>
    <w:rsid w:val="003926DC"/>
    <w:rsid w:val="0039365E"/>
    <w:rsid w:val="00395ED8"/>
    <w:rsid w:val="00395FFC"/>
    <w:rsid w:val="003A0347"/>
    <w:rsid w:val="003A3AA2"/>
    <w:rsid w:val="003A3E74"/>
    <w:rsid w:val="003A3F75"/>
    <w:rsid w:val="003A4316"/>
    <w:rsid w:val="003A678B"/>
    <w:rsid w:val="003A72A6"/>
    <w:rsid w:val="003B05AB"/>
    <w:rsid w:val="003B0A9C"/>
    <w:rsid w:val="003B133F"/>
    <w:rsid w:val="003B1BB7"/>
    <w:rsid w:val="003B2DD6"/>
    <w:rsid w:val="003B3035"/>
    <w:rsid w:val="003B3070"/>
    <w:rsid w:val="003B3CCB"/>
    <w:rsid w:val="003B48BC"/>
    <w:rsid w:val="003B608A"/>
    <w:rsid w:val="003C113C"/>
    <w:rsid w:val="003C11A0"/>
    <w:rsid w:val="003C2189"/>
    <w:rsid w:val="003C25A6"/>
    <w:rsid w:val="003C26F2"/>
    <w:rsid w:val="003C2924"/>
    <w:rsid w:val="003C2B2A"/>
    <w:rsid w:val="003C3F1B"/>
    <w:rsid w:val="003C4492"/>
    <w:rsid w:val="003C4810"/>
    <w:rsid w:val="003C4C08"/>
    <w:rsid w:val="003C4E2C"/>
    <w:rsid w:val="003C5B11"/>
    <w:rsid w:val="003C65D5"/>
    <w:rsid w:val="003C7C17"/>
    <w:rsid w:val="003C7DE7"/>
    <w:rsid w:val="003D0EA3"/>
    <w:rsid w:val="003D181C"/>
    <w:rsid w:val="003D19D3"/>
    <w:rsid w:val="003D1B84"/>
    <w:rsid w:val="003D3208"/>
    <w:rsid w:val="003D3557"/>
    <w:rsid w:val="003D57C6"/>
    <w:rsid w:val="003D7FD6"/>
    <w:rsid w:val="003E0334"/>
    <w:rsid w:val="003E034A"/>
    <w:rsid w:val="003E12E6"/>
    <w:rsid w:val="003E3505"/>
    <w:rsid w:val="003E3EED"/>
    <w:rsid w:val="003E4C44"/>
    <w:rsid w:val="003E5181"/>
    <w:rsid w:val="003E6C59"/>
    <w:rsid w:val="003E7377"/>
    <w:rsid w:val="003E759D"/>
    <w:rsid w:val="003F0377"/>
    <w:rsid w:val="003F0C01"/>
    <w:rsid w:val="003F12D6"/>
    <w:rsid w:val="003F19C7"/>
    <w:rsid w:val="003F1E5C"/>
    <w:rsid w:val="003F1FDD"/>
    <w:rsid w:val="003F320F"/>
    <w:rsid w:val="003F4BC2"/>
    <w:rsid w:val="003F4FE0"/>
    <w:rsid w:val="003F673F"/>
    <w:rsid w:val="003F6839"/>
    <w:rsid w:val="003F6D22"/>
    <w:rsid w:val="003F70D3"/>
    <w:rsid w:val="003F79DA"/>
    <w:rsid w:val="004007C4"/>
    <w:rsid w:val="004008A2"/>
    <w:rsid w:val="00400C8B"/>
    <w:rsid w:val="00401346"/>
    <w:rsid w:val="004014FD"/>
    <w:rsid w:val="00402682"/>
    <w:rsid w:val="0040343E"/>
    <w:rsid w:val="004038C5"/>
    <w:rsid w:val="00403D9A"/>
    <w:rsid w:val="00404EA9"/>
    <w:rsid w:val="0040600B"/>
    <w:rsid w:val="00406582"/>
    <w:rsid w:val="00406FC2"/>
    <w:rsid w:val="00407E4A"/>
    <w:rsid w:val="00410131"/>
    <w:rsid w:val="00412194"/>
    <w:rsid w:val="00412E15"/>
    <w:rsid w:val="004130CE"/>
    <w:rsid w:val="004160A5"/>
    <w:rsid w:val="004166BA"/>
    <w:rsid w:val="004166C2"/>
    <w:rsid w:val="00417009"/>
    <w:rsid w:val="00417075"/>
    <w:rsid w:val="0041787C"/>
    <w:rsid w:val="004205FB"/>
    <w:rsid w:val="00420D64"/>
    <w:rsid w:val="00421CD2"/>
    <w:rsid w:val="00422370"/>
    <w:rsid w:val="004227A3"/>
    <w:rsid w:val="00423E56"/>
    <w:rsid w:val="0042453B"/>
    <w:rsid w:val="00424897"/>
    <w:rsid w:val="00425E94"/>
    <w:rsid w:val="0042614F"/>
    <w:rsid w:val="004264AD"/>
    <w:rsid w:val="004271CB"/>
    <w:rsid w:val="004273D2"/>
    <w:rsid w:val="00430703"/>
    <w:rsid w:val="00430E50"/>
    <w:rsid w:val="00431863"/>
    <w:rsid w:val="0043317B"/>
    <w:rsid w:val="00435863"/>
    <w:rsid w:val="00435B22"/>
    <w:rsid w:val="00436991"/>
    <w:rsid w:val="00436E77"/>
    <w:rsid w:val="00440814"/>
    <w:rsid w:val="00440CD0"/>
    <w:rsid w:val="00440F02"/>
    <w:rsid w:val="0044235A"/>
    <w:rsid w:val="004428ED"/>
    <w:rsid w:val="004429E2"/>
    <w:rsid w:val="004437C8"/>
    <w:rsid w:val="00445819"/>
    <w:rsid w:val="00445D48"/>
    <w:rsid w:val="00447231"/>
    <w:rsid w:val="00450C78"/>
    <w:rsid w:val="00450E68"/>
    <w:rsid w:val="004512B6"/>
    <w:rsid w:val="00452303"/>
    <w:rsid w:val="0045258A"/>
    <w:rsid w:val="004541FD"/>
    <w:rsid w:val="00454299"/>
    <w:rsid w:val="00456410"/>
    <w:rsid w:val="004567C5"/>
    <w:rsid w:val="004568ED"/>
    <w:rsid w:val="00456D19"/>
    <w:rsid w:val="00456EB3"/>
    <w:rsid w:val="00457005"/>
    <w:rsid w:val="00457215"/>
    <w:rsid w:val="004578FB"/>
    <w:rsid w:val="00457D98"/>
    <w:rsid w:val="00461378"/>
    <w:rsid w:val="00461390"/>
    <w:rsid w:val="0046144D"/>
    <w:rsid w:val="0046148A"/>
    <w:rsid w:val="004636C2"/>
    <w:rsid w:val="004642F0"/>
    <w:rsid w:val="004657C6"/>
    <w:rsid w:val="004657D1"/>
    <w:rsid w:val="00465F69"/>
    <w:rsid w:val="00466A8A"/>
    <w:rsid w:val="00466C1F"/>
    <w:rsid w:val="00466ED1"/>
    <w:rsid w:val="004673A4"/>
    <w:rsid w:val="00467B0C"/>
    <w:rsid w:val="00467DE9"/>
    <w:rsid w:val="004707BF"/>
    <w:rsid w:val="00470B56"/>
    <w:rsid w:val="00471601"/>
    <w:rsid w:val="0047187A"/>
    <w:rsid w:val="00471E6F"/>
    <w:rsid w:val="00472F94"/>
    <w:rsid w:val="00473349"/>
    <w:rsid w:val="0047338E"/>
    <w:rsid w:val="0047364C"/>
    <w:rsid w:val="0047412A"/>
    <w:rsid w:val="004749AE"/>
    <w:rsid w:val="00474BE3"/>
    <w:rsid w:val="00477537"/>
    <w:rsid w:val="004801C6"/>
    <w:rsid w:val="0048047D"/>
    <w:rsid w:val="00482DBA"/>
    <w:rsid w:val="00483A54"/>
    <w:rsid w:val="00484EB0"/>
    <w:rsid w:val="00485758"/>
    <w:rsid w:val="00485B06"/>
    <w:rsid w:val="00485F23"/>
    <w:rsid w:val="0048646A"/>
    <w:rsid w:val="00486746"/>
    <w:rsid w:val="0048677A"/>
    <w:rsid w:val="00486A5B"/>
    <w:rsid w:val="004903C6"/>
    <w:rsid w:val="00490505"/>
    <w:rsid w:val="004906B7"/>
    <w:rsid w:val="00491AA9"/>
    <w:rsid w:val="00491C4D"/>
    <w:rsid w:val="00491E5B"/>
    <w:rsid w:val="00493237"/>
    <w:rsid w:val="00493801"/>
    <w:rsid w:val="00493CE3"/>
    <w:rsid w:val="00495004"/>
    <w:rsid w:val="00495372"/>
    <w:rsid w:val="00495660"/>
    <w:rsid w:val="00495709"/>
    <w:rsid w:val="00495E5E"/>
    <w:rsid w:val="0049736B"/>
    <w:rsid w:val="004974B7"/>
    <w:rsid w:val="004A0294"/>
    <w:rsid w:val="004A03F0"/>
    <w:rsid w:val="004A081C"/>
    <w:rsid w:val="004A0B2E"/>
    <w:rsid w:val="004A162C"/>
    <w:rsid w:val="004A1DB0"/>
    <w:rsid w:val="004A250D"/>
    <w:rsid w:val="004A27D1"/>
    <w:rsid w:val="004A41BE"/>
    <w:rsid w:val="004A44A0"/>
    <w:rsid w:val="004A542B"/>
    <w:rsid w:val="004A569B"/>
    <w:rsid w:val="004A5B9E"/>
    <w:rsid w:val="004A6B37"/>
    <w:rsid w:val="004A6EE4"/>
    <w:rsid w:val="004A74E6"/>
    <w:rsid w:val="004B0B1C"/>
    <w:rsid w:val="004B24DA"/>
    <w:rsid w:val="004B3191"/>
    <w:rsid w:val="004B4643"/>
    <w:rsid w:val="004B47A6"/>
    <w:rsid w:val="004B561C"/>
    <w:rsid w:val="004B582E"/>
    <w:rsid w:val="004B5ACE"/>
    <w:rsid w:val="004B5C06"/>
    <w:rsid w:val="004B5F30"/>
    <w:rsid w:val="004B60CA"/>
    <w:rsid w:val="004B750F"/>
    <w:rsid w:val="004B7548"/>
    <w:rsid w:val="004C0066"/>
    <w:rsid w:val="004C0863"/>
    <w:rsid w:val="004C0938"/>
    <w:rsid w:val="004C09CD"/>
    <w:rsid w:val="004C1284"/>
    <w:rsid w:val="004C132E"/>
    <w:rsid w:val="004C15E1"/>
    <w:rsid w:val="004C2187"/>
    <w:rsid w:val="004C34F5"/>
    <w:rsid w:val="004C3709"/>
    <w:rsid w:val="004C3D1D"/>
    <w:rsid w:val="004C46DF"/>
    <w:rsid w:val="004C6F34"/>
    <w:rsid w:val="004C755B"/>
    <w:rsid w:val="004D0978"/>
    <w:rsid w:val="004D170C"/>
    <w:rsid w:val="004D1B69"/>
    <w:rsid w:val="004D1C68"/>
    <w:rsid w:val="004D1E68"/>
    <w:rsid w:val="004D1E80"/>
    <w:rsid w:val="004D28C7"/>
    <w:rsid w:val="004D41FE"/>
    <w:rsid w:val="004D58C6"/>
    <w:rsid w:val="004D61DC"/>
    <w:rsid w:val="004D6528"/>
    <w:rsid w:val="004D79A0"/>
    <w:rsid w:val="004D7FAE"/>
    <w:rsid w:val="004E1FF7"/>
    <w:rsid w:val="004E2915"/>
    <w:rsid w:val="004E41FF"/>
    <w:rsid w:val="004E5F1B"/>
    <w:rsid w:val="004E6291"/>
    <w:rsid w:val="004E6EEC"/>
    <w:rsid w:val="004F116F"/>
    <w:rsid w:val="004F1FF8"/>
    <w:rsid w:val="004F2B47"/>
    <w:rsid w:val="004F2ECC"/>
    <w:rsid w:val="004F3218"/>
    <w:rsid w:val="004F4867"/>
    <w:rsid w:val="004F6147"/>
    <w:rsid w:val="004F622E"/>
    <w:rsid w:val="004F62AD"/>
    <w:rsid w:val="004F6DC4"/>
    <w:rsid w:val="004F77E5"/>
    <w:rsid w:val="0050107F"/>
    <w:rsid w:val="00501A64"/>
    <w:rsid w:val="005025B1"/>
    <w:rsid w:val="00502DB0"/>
    <w:rsid w:val="00503830"/>
    <w:rsid w:val="00504BAC"/>
    <w:rsid w:val="00505299"/>
    <w:rsid w:val="005062E3"/>
    <w:rsid w:val="00506336"/>
    <w:rsid w:val="0050736D"/>
    <w:rsid w:val="0050756F"/>
    <w:rsid w:val="005075B1"/>
    <w:rsid w:val="00507851"/>
    <w:rsid w:val="005100D9"/>
    <w:rsid w:val="005108A5"/>
    <w:rsid w:val="00510B4F"/>
    <w:rsid w:val="00511705"/>
    <w:rsid w:val="00511D7D"/>
    <w:rsid w:val="00511F5F"/>
    <w:rsid w:val="00512A79"/>
    <w:rsid w:val="00513FD1"/>
    <w:rsid w:val="00514055"/>
    <w:rsid w:val="005141AC"/>
    <w:rsid w:val="00515BE2"/>
    <w:rsid w:val="0051622B"/>
    <w:rsid w:val="005163B8"/>
    <w:rsid w:val="00517379"/>
    <w:rsid w:val="00517427"/>
    <w:rsid w:val="00517B12"/>
    <w:rsid w:val="00517C59"/>
    <w:rsid w:val="0052062B"/>
    <w:rsid w:val="005207CA"/>
    <w:rsid w:val="00520E41"/>
    <w:rsid w:val="00522401"/>
    <w:rsid w:val="00522BE3"/>
    <w:rsid w:val="00522F17"/>
    <w:rsid w:val="00524414"/>
    <w:rsid w:val="005265F0"/>
    <w:rsid w:val="00527DAB"/>
    <w:rsid w:val="00531514"/>
    <w:rsid w:val="005319CA"/>
    <w:rsid w:val="0053238F"/>
    <w:rsid w:val="00532791"/>
    <w:rsid w:val="00532F43"/>
    <w:rsid w:val="00532FAE"/>
    <w:rsid w:val="0053331E"/>
    <w:rsid w:val="0053388C"/>
    <w:rsid w:val="00535279"/>
    <w:rsid w:val="005355BE"/>
    <w:rsid w:val="00535FDE"/>
    <w:rsid w:val="005366B2"/>
    <w:rsid w:val="005369B9"/>
    <w:rsid w:val="00536AD2"/>
    <w:rsid w:val="00540104"/>
    <w:rsid w:val="0054073B"/>
    <w:rsid w:val="0054107A"/>
    <w:rsid w:val="00542BB4"/>
    <w:rsid w:val="00542D0A"/>
    <w:rsid w:val="00545BE3"/>
    <w:rsid w:val="00545D42"/>
    <w:rsid w:val="00546226"/>
    <w:rsid w:val="005468FB"/>
    <w:rsid w:val="005470F7"/>
    <w:rsid w:val="0054723E"/>
    <w:rsid w:val="00547557"/>
    <w:rsid w:val="005479DE"/>
    <w:rsid w:val="00552046"/>
    <w:rsid w:val="00553242"/>
    <w:rsid w:val="0055477D"/>
    <w:rsid w:val="00554B6E"/>
    <w:rsid w:val="00555C08"/>
    <w:rsid w:val="00556FAB"/>
    <w:rsid w:val="0055758C"/>
    <w:rsid w:val="00557D56"/>
    <w:rsid w:val="0056208A"/>
    <w:rsid w:val="00563A05"/>
    <w:rsid w:val="0056475C"/>
    <w:rsid w:val="005648C3"/>
    <w:rsid w:val="00564A47"/>
    <w:rsid w:val="00564C44"/>
    <w:rsid w:val="00565F46"/>
    <w:rsid w:val="005660DA"/>
    <w:rsid w:val="00566432"/>
    <w:rsid w:val="0056659B"/>
    <w:rsid w:val="005704E9"/>
    <w:rsid w:val="005718F1"/>
    <w:rsid w:val="00572373"/>
    <w:rsid w:val="0057300F"/>
    <w:rsid w:val="00573A16"/>
    <w:rsid w:val="00574324"/>
    <w:rsid w:val="005743A7"/>
    <w:rsid w:val="0057481C"/>
    <w:rsid w:val="00575C5F"/>
    <w:rsid w:val="00580619"/>
    <w:rsid w:val="00582DEE"/>
    <w:rsid w:val="00583342"/>
    <w:rsid w:val="00583953"/>
    <w:rsid w:val="0058450E"/>
    <w:rsid w:val="005847FD"/>
    <w:rsid w:val="00584856"/>
    <w:rsid w:val="00584EEF"/>
    <w:rsid w:val="005854BA"/>
    <w:rsid w:val="00585865"/>
    <w:rsid w:val="00585D12"/>
    <w:rsid w:val="005860AC"/>
    <w:rsid w:val="0058655E"/>
    <w:rsid w:val="0058687F"/>
    <w:rsid w:val="0058690E"/>
    <w:rsid w:val="00587496"/>
    <w:rsid w:val="0058780A"/>
    <w:rsid w:val="00590E38"/>
    <w:rsid w:val="005916B1"/>
    <w:rsid w:val="00591BF8"/>
    <w:rsid w:val="00591F8B"/>
    <w:rsid w:val="005920FF"/>
    <w:rsid w:val="0059376A"/>
    <w:rsid w:val="00593CEB"/>
    <w:rsid w:val="00593E24"/>
    <w:rsid w:val="00594474"/>
    <w:rsid w:val="00594BA3"/>
    <w:rsid w:val="00594BE1"/>
    <w:rsid w:val="0059546F"/>
    <w:rsid w:val="005955E9"/>
    <w:rsid w:val="00595A6D"/>
    <w:rsid w:val="005A0D51"/>
    <w:rsid w:val="005A190A"/>
    <w:rsid w:val="005A3180"/>
    <w:rsid w:val="005A3A65"/>
    <w:rsid w:val="005A417B"/>
    <w:rsid w:val="005A445C"/>
    <w:rsid w:val="005A47DD"/>
    <w:rsid w:val="005A4B07"/>
    <w:rsid w:val="005A59D8"/>
    <w:rsid w:val="005A5B58"/>
    <w:rsid w:val="005A6872"/>
    <w:rsid w:val="005A6E15"/>
    <w:rsid w:val="005A7418"/>
    <w:rsid w:val="005B0D89"/>
    <w:rsid w:val="005B18DE"/>
    <w:rsid w:val="005B1D61"/>
    <w:rsid w:val="005B3C0C"/>
    <w:rsid w:val="005B3C41"/>
    <w:rsid w:val="005B3FF7"/>
    <w:rsid w:val="005B47B0"/>
    <w:rsid w:val="005B5A7A"/>
    <w:rsid w:val="005B5DCF"/>
    <w:rsid w:val="005B6505"/>
    <w:rsid w:val="005B6ACF"/>
    <w:rsid w:val="005B79D8"/>
    <w:rsid w:val="005B7CD4"/>
    <w:rsid w:val="005C0224"/>
    <w:rsid w:val="005C04DD"/>
    <w:rsid w:val="005C0689"/>
    <w:rsid w:val="005C1E40"/>
    <w:rsid w:val="005C41B9"/>
    <w:rsid w:val="005C4318"/>
    <w:rsid w:val="005C671F"/>
    <w:rsid w:val="005C6811"/>
    <w:rsid w:val="005C6963"/>
    <w:rsid w:val="005C6DC8"/>
    <w:rsid w:val="005C72A5"/>
    <w:rsid w:val="005D0E87"/>
    <w:rsid w:val="005D1194"/>
    <w:rsid w:val="005D1300"/>
    <w:rsid w:val="005D2595"/>
    <w:rsid w:val="005D29A2"/>
    <w:rsid w:val="005D2FF2"/>
    <w:rsid w:val="005D32AE"/>
    <w:rsid w:val="005D335E"/>
    <w:rsid w:val="005D3A47"/>
    <w:rsid w:val="005D3B34"/>
    <w:rsid w:val="005D437B"/>
    <w:rsid w:val="005D4481"/>
    <w:rsid w:val="005D5619"/>
    <w:rsid w:val="005D5783"/>
    <w:rsid w:val="005D6168"/>
    <w:rsid w:val="005D6493"/>
    <w:rsid w:val="005D68DB"/>
    <w:rsid w:val="005D6959"/>
    <w:rsid w:val="005D6B3D"/>
    <w:rsid w:val="005D75EC"/>
    <w:rsid w:val="005D789D"/>
    <w:rsid w:val="005E02A0"/>
    <w:rsid w:val="005E050B"/>
    <w:rsid w:val="005E2F2E"/>
    <w:rsid w:val="005E3963"/>
    <w:rsid w:val="005E396E"/>
    <w:rsid w:val="005E39E9"/>
    <w:rsid w:val="005E3DFA"/>
    <w:rsid w:val="005E49A9"/>
    <w:rsid w:val="005E7003"/>
    <w:rsid w:val="005E72B4"/>
    <w:rsid w:val="005E7B63"/>
    <w:rsid w:val="005F080B"/>
    <w:rsid w:val="005F16DB"/>
    <w:rsid w:val="005F1E70"/>
    <w:rsid w:val="005F278E"/>
    <w:rsid w:val="005F3A0C"/>
    <w:rsid w:val="005F51DE"/>
    <w:rsid w:val="005F51F1"/>
    <w:rsid w:val="005F6F68"/>
    <w:rsid w:val="005F72F2"/>
    <w:rsid w:val="005F7CFF"/>
    <w:rsid w:val="00600B5C"/>
    <w:rsid w:val="006014A4"/>
    <w:rsid w:val="00601FDB"/>
    <w:rsid w:val="006025BC"/>
    <w:rsid w:val="00603C9B"/>
    <w:rsid w:val="006040CD"/>
    <w:rsid w:val="00604371"/>
    <w:rsid w:val="00604B57"/>
    <w:rsid w:val="00604D93"/>
    <w:rsid w:val="00604F78"/>
    <w:rsid w:val="006051B2"/>
    <w:rsid w:val="00605266"/>
    <w:rsid w:val="0060699E"/>
    <w:rsid w:val="0060760E"/>
    <w:rsid w:val="006114BF"/>
    <w:rsid w:val="006114F2"/>
    <w:rsid w:val="00611582"/>
    <w:rsid w:val="00611664"/>
    <w:rsid w:val="00611985"/>
    <w:rsid w:val="00611B07"/>
    <w:rsid w:val="0061259E"/>
    <w:rsid w:val="0061331C"/>
    <w:rsid w:val="00613428"/>
    <w:rsid w:val="00614A0E"/>
    <w:rsid w:val="0061523F"/>
    <w:rsid w:val="006164ED"/>
    <w:rsid w:val="00617BEC"/>
    <w:rsid w:val="006214DC"/>
    <w:rsid w:val="00621732"/>
    <w:rsid w:val="006223AF"/>
    <w:rsid w:val="006229EB"/>
    <w:rsid w:val="00623CB4"/>
    <w:rsid w:val="0062536D"/>
    <w:rsid w:val="00626500"/>
    <w:rsid w:val="00627B07"/>
    <w:rsid w:val="006305A0"/>
    <w:rsid w:val="006305BE"/>
    <w:rsid w:val="00630719"/>
    <w:rsid w:val="006307FF"/>
    <w:rsid w:val="00630969"/>
    <w:rsid w:val="006309EE"/>
    <w:rsid w:val="00630BB8"/>
    <w:rsid w:val="00630BF3"/>
    <w:rsid w:val="006310EA"/>
    <w:rsid w:val="006316CC"/>
    <w:rsid w:val="0063192F"/>
    <w:rsid w:val="00632306"/>
    <w:rsid w:val="006326A8"/>
    <w:rsid w:val="0063301D"/>
    <w:rsid w:val="00633580"/>
    <w:rsid w:val="00633A81"/>
    <w:rsid w:val="00634591"/>
    <w:rsid w:val="00634743"/>
    <w:rsid w:val="00634C8C"/>
    <w:rsid w:val="00634D3C"/>
    <w:rsid w:val="00635031"/>
    <w:rsid w:val="00635E88"/>
    <w:rsid w:val="0063608D"/>
    <w:rsid w:val="00636304"/>
    <w:rsid w:val="00636A3A"/>
    <w:rsid w:val="00637CB2"/>
    <w:rsid w:val="00640572"/>
    <w:rsid w:val="0064294E"/>
    <w:rsid w:val="00644009"/>
    <w:rsid w:val="0064444F"/>
    <w:rsid w:val="006447F4"/>
    <w:rsid w:val="00644F87"/>
    <w:rsid w:val="006459E6"/>
    <w:rsid w:val="006468FA"/>
    <w:rsid w:val="00647D63"/>
    <w:rsid w:val="00650A7F"/>
    <w:rsid w:val="00650D40"/>
    <w:rsid w:val="00651967"/>
    <w:rsid w:val="00651BD4"/>
    <w:rsid w:val="00651EA0"/>
    <w:rsid w:val="00652223"/>
    <w:rsid w:val="006524CD"/>
    <w:rsid w:val="00653376"/>
    <w:rsid w:val="0065363C"/>
    <w:rsid w:val="00654C85"/>
    <w:rsid w:val="006553F9"/>
    <w:rsid w:val="0065665B"/>
    <w:rsid w:val="00656E67"/>
    <w:rsid w:val="006573A6"/>
    <w:rsid w:val="0066089B"/>
    <w:rsid w:val="00660E03"/>
    <w:rsid w:val="00661EC1"/>
    <w:rsid w:val="006624B0"/>
    <w:rsid w:val="00662BD3"/>
    <w:rsid w:val="0066324E"/>
    <w:rsid w:val="00664CD4"/>
    <w:rsid w:val="00665339"/>
    <w:rsid w:val="00666711"/>
    <w:rsid w:val="00666EA3"/>
    <w:rsid w:val="00667C3F"/>
    <w:rsid w:val="00667D5E"/>
    <w:rsid w:val="006706D7"/>
    <w:rsid w:val="00671353"/>
    <w:rsid w:val="00671D49"/>
    <w:rsid w:val="00673081"/>
    <w:rsid w:val="00674323"/>
    <w:rsid w:val="006759AC"/>
    <w:rsid w:val="00675E56"/>
    <w:rsid w:val="0067637D"/>
    <w:rsid w:val="006767B8"/>
    <w:rsid w:val="0068085F"/>
    <w:rsid w:val="00680E64"/>
    <w:rsid w:val="00682696"/>
    <w:rsid w:val="00683199"/>
    <w:rsid w:val="006834E3"/>
    <w:rsid w:val="00684A04"/>
    <w:rsid w:val="00684CB2"/>
    <w:rsid w:val="00685229"/>
    <w:rsid w:val="0068621C"/>
    <w:rsid w:val="0068688B"/>
    <w:rsid w:val="00686C22"/>
    <w:rsid w:val="00686D45"/>
    <w:rsid w:val="00687494"/>
    <w:rsid w:val="00687A90"/>
    <w:rsid w:val="00690152"/>
    <w:rsid w:val="00690A0B"/>
    <w:rsid w:val="00690AA0"/>
    <w:rsid w:val="00690CF3"/>
    <w:rsid w:val="00691060"/>
    <w:rsid w:val="00692ED6"/>
    <w:rsid w:val="0069380E"/>
    <w:rsid w:val="00694112"/>
    <w:rsid w:val="00696124"/>
    <w:rsid w:val="006A02CA"/>
    <w:rsid w:val="006A042A"/>
    <w:rsid w:val="006A18F5"/>
    <w:rsid w:val="006A18F7"/>
    <w:rsid w:val="006A2496"/>
    <w:rsid w:val="006A27B2"/>
    <w:rsid w:val="006A2C4C"/>
    <w:rsid w:val="006A352C"/>
    <w:rsid w:val="006A60B6"/>
    <w:rsid w:val="006A616F"/>
    <w:rsid w:val="006A6B46"/>
    <w:rsid w:val="006A7D06"/>
    <w:rsid w:val="006A7D26"/>
    <w:rsid w:val="006B05D6"/>
    <w:rsid w:val="006B086B"/>
    <w:rsid w:val="006B0EC3"/>
    <w:rsid w:val="006B1134"/>
    <w:rsid w:val="006B1A88"/>
    <w:rsid w:val="006B1AE0"/>
    <w:rsid w:val="006B34C3"/>
    <w:rsid w:val="006B3563"/>
    <w:rsid w:val="006B3A2B"/>
    <w:rsid w:val="006B56F5"/>
    <w:rsid w:val="006B5700"/>
    <w:rsid w:val="006B69A9"/>
    <w:rsid w:val="006C20A8"/>
    <w:rsid w:val="006C2437"/>
    <w:rsid w:val="006C245F"/>
    <w:rsid w:val="006C2D3E"/>
    <w:rsid w:val="006C2EDF"/>
    <w:rsid w:val="006C3FDB"/>
    <w:rsid w:val="006C50CB"/>
    <w:rsid w:val="006C6310"/>
    <w:rsid w:val="006C7F78"/>
    <w:rsid w:val="006D19FF"/>
    <w:rsid w:val="006D1B09"/>
    <w:rsid w:val="006D2F8B"/>
    <w:rsid w:val="006D3A7C"/>
    <w:rsid w:val="006D4116"/>
    <w:rsid w:val="006D5E89"/>
    <w:rsid w:val="006D64A3"/>
    <w:rsid w:val="006E32A9"/>
    <w:rsid w:val="006E37D5"/>
    <w:rsid w:val="006E4F91"/>
    <w:rsid w:val="006E5091"/>
    <w:rsid w:val="006E50BF"/>
    <w:rsid w:val="006E5427"/>
    <w:rsid w:val="006E5FEA"/>
    <w:rsid w:val="006E76F9"/>
    <w:rsid w:val="006E7842"/>
    <w:rsid w:val="006F15CA"/>
    <w:rsid w:val="006F268C"/>
    <w:rsid w:val="006F3A2B"/>
    <w:rsid w:val="006F3F87"/>
    <w:rsid w:val="006F44F3"/>
    <w:rsid w:val="006F4662"/>
    <w:rsid w:val="006F536C"/>
    <w:rsid w:val="006F599E"/>
    <w:rsid w:val="006F7928"/>
    <w:rsid w:val="00700D31"/>
    <w:rsid w:val="007011AE"/>
    <w:rsid w:val="007013FF"/>
    <w:rsid w:val="0070191B"/>
    <w:rsid w:val="00702395"/>
    <w:rsid w:val="00702EAA"/>
    <w:rsid w:val="007043BA"/>
    <w:rsid w:val="00705BF8"/>
    <w:rsid w:val="007060BD"/>
    <w:rsid w:val="007062C4"/>
    <w:rsid w:val="007067A0"/>
    <w:rsid w:val="00706A0A"/>
    <w:rsid w:val="00710758"/>
    <w:rsid w:val="00710C64"/>
    <w:rsid w:val="00711AB2"/>
    <w:rsid w:val="00712496"/>
    <w:rsid w:val="007141EE"/>
    <w:rsid w:val="0071428E"/>
    <w:rsid w:val="007151C3"/>
    <w:rsid w:val="007152F8"/>
    <w:rsid w:val="00716193"/>
    <w:rsid w:val="0071717F"/>
    <w:rsid w:val="007178BE"/>
    <w:rsid w:val="00717B20"/>
    <w:rsid w:val="00717F76"/>
    <w:rsid w:val="0072089A"/>
    <w:rsid w:val="007213C5"/>
    <w:rsid w:val="0072281E"/>
    <w:rsid w:val="007234AC"/>
    <w:rsid w:val="0072374E"/>
    <w:rsid w:val="00723836"/>
    <w:rsid w:val="0072393D"/>
    <w:rsid w:val="00723C57"/>
    <w:rsid w:val="00724F25"/>
    <w:rsid w:val="0072611D"/>
    <w:rsid w:val="00726CE8"/>
    <w:rsid w:val="007271FB"/>
    <w:rsid w:val="00727E19"/>
    <w:rsid w:val="00731E90"/>
    <w:rsid w:val="00732934"/>
    <w:rsid w:val="007342EB"/>
    <w:rsid w:val="00734EAE"/>
    <w:rsid w:val="0073593E"/>
    <w:rsid w:val="00735FA0"/>
    <w:rsid w:val="0073645C"/>
    <w:rsid w:val="00736FFB"/>
    <w:rsid w:val="007406C4"/>
    <w:rsid w:val="007408BD"/>
    <w:rsid w:val="00741E6E"/>
    <w:rsid w:val="007423A2"/>
    <w:rsid w:val="007423CC"/>
    <w:rsid w:val="00743435"/>
    <w:rsid w:val="00743989"/>
    <w:rsid w:val="007455E3"/>
    <w:rsid w:val="00746985"/>
    <w:rsid w:val="00747397"/>
    <w:rsid w:val="007520C3"/>
    <w:rsid w:val="0075547B"/>
    <w:rsid w:val="007557F9"/>
    <w:rsid w:val="0075688C"/>
    <w:rsid w:val="00756D57"/>
    <w:rsid w:val="00757A65"/>
    <w:rsid w:val="007600DC"/>
    <w:rsid w:val="007613D5"/>
    <w:rsid w:val="007614FE"/>
    <w:rsid w:val="00762158"/>
    <w:rsid w:val="00762B1A"/>
    <w:rsid w:val="007642D1"/>
    <w:rsid w:val="007655B7"/>
    <w:rsid w:val="00766D6C"/>
    <w:rsid w:val="0076797D"/>
    <w:rsid w:val="00767999"/>
    <w:rsid w:val="00770704"/>
    <w:rsid w:val="007714A6"/>
    <w:rsid w:val="007716CE"/>
    <w:rsid w:val="00771727"/>
    <w:rsid w:val="007725BA"/>
    <w:rsid w:val="00772A84"/>
    <w:rsid w:val="00772D9E"/>
    <w:rsid w:val="007757A1"/>
    <w:rsid w:val="007764A5"/>
    <w:rsid w:val="007767BB"/>
    <w:rsid w:val="007810A5"/>
    <w:rsid w:val="0078253B"/>
    <w:rsid w:val="007825A5"/>
    <w:rsid w:val="007828D8"/>
    <w:rsid w:val="0078553F"/>
    <w:rsid w:val="00785552"/>
    <w:rsid w:val="0078581D"/>
    <w:rsid w:val="007903A4"/>
    <w:rsid w:val="00790727"/>
    <w:rsid w:val="007918C9"/>
    <w:rsid w:val="00791B1E"/>
    <w:rsid w:val="00792373"/>
    <w:rsid w:val="007929B1"/>
    <w:rsid w:val="00794EE4"/>
    <w:rsid w:val="007965F2"/>
    <w:rsid w:val="00796AF1"/>
    <w:rsid w:val="00796E84"/>
    <w:rsid w:val="00797465"/>
    <w:rsid w:val="007A04F4"/>
    <w:rsid w:val="007A0525"/>
    <w:rsid w:val="007A0D9D"/>
    <w:rsid w:val="007A0DFF"/>
    <w:rsid w:val="007A0EF3"/>
    <w:rsid w:val="007A1A78"/>
    <w:rsid w:val="007A28E9"/>
    <w:rsid w:val="007A2A00"/>
    <w:rsid w:val="007A2AB3"/>
    <w:rsid w:val="007A2BB4"/>
    <w:rsid w:val="007A3523"/>
    <w:rsid w:val="007A5DBF"/>
    <w:rsid w:val="007A674B"/>
    <w:rsid w:val="007A692C"/>
    <w:rsid w:val="007A7CD9"/>
    <w:rsid w:val="007B03D9"/>
    <w:rsid w:val="007B0AB5"/>
    <w:rsid w:val="007B0B67"/>
    <w:rsid w:val="007B0CCF"/>
    <w:rsid w:val="007B0E8E"/>
    <w:rsid w:val="007B179A"/>
    <w:rsid w:val="007B1AB3"/>
    <w:rsid w:val="007B32DA"/>
    <w:rsid w:val="007B34F0"/>
    <w:rsid w:val="007B4A6D"/>
    <w:rsid w:val="007B5992"/>
    <w:rsid w:val="007B5CAB"/>
    <w:rsid w:val="007B66FE"/>
    <w:rsid w:val="007B681E"/>
    <w:rsid w:val="007B6B60"/>
    <w:rsid w:val="007B76DE"/>
    <w:rsid w:val="007B7DD9"/>
    <w:rsid w:val="007B7DDB"/>
    <w:rsid w:val="007C07A0"/>
    <w:rsid w:val="007C100D"/>
    <w:rsid w:val="007C1DFF"/>
    <w:rsid w:val="007C20A6"/>
    <w:rsid w:val="007C2699"/>
    <w:rsid w:val="007C2CD9"/>
    <w:rsid w:val="007C316A"/>
    <w:rsid w:val="007C54EE"/>
    <w:rsid w:val="007C6188"/>
    <w:rsid w:val="007C6445"/>
    <w:rsid w:val="007C6EDD"/>
    <w:rsid w:val="007C718E"/>
    <w:rsid w:val="007C74D1"/>
    <w:rsid w:val="007C7E6A"/>
    <w:rsid w:val="007D03D0"/>
    <w:rsid w:val="007D053D"/>
    <w:rsid w:val="007D0775"/>
    <w:rsid w:val="007D0D34"/>
    <w:rsid w:val="007D11DB"/>
    <w:rsid w:val="007D1286"/>
    <w:rsid w:val="007D1B9D"/>
    <w:rsid w:val="007D204B"/>
    <w:rsid w:val="007D251C"/>
    <w:rsid w:val="007D331A"/>
    <w:rsid w:val="007D3768"/>
    <w:rsid w:val="007D3D04"/>
    <w:rsid w:val="007D3D16"/>
    <w:rsid w:val="007D542D"/>
    <w:rsid w:val="007D565A"/>
    <w:rsid w:val="007D5D34"/>
    <w:rsid w:val="007D78C1"/>
    <w:rsid w:val="007D7DFF"/>
    <w:rsid w:val="007D7EC5"/>
    <w:rsid w:val="007E034C"/>
    <w:rsid w:val="007E0716"/>
    <w:rsid w:val="007E0A02"/>
    <w:rsid w:val="007E13A4"/>
    <w:rsid w:val="007E1C31"/>
    <w:rsid w:val="007E2F84"/>
    <w:rsid w:val="007E474F"/>
    <w:rsid w:val="007E4C59"/>
    <w:rsid w:val="007E5608"/>
    <w:rsid w:val="007E64F5"/>
    <w:rsid w:val="007E731E"/>
    <w:rsid w:val="007F105F"/>
    <w:rsid w:val="007F1AFA"/>
    <w:rsid w:val="007F2B21"/>
    <w:rsid w:val="007F3C5A"/>
    <w:rsid w:val="007F3F44"/>
    <w:rsid w:val="007F4153"/>
    <w:rsid w:val="007F478F"/>
    <w:rsid w:val="007F4E3D"/>
    <w:rsid w:val="007F5AB4"/>
    <w:rsid w:val="007F62D9"/>
    <w:rsid w:val="007F6A2B"/>
    <w:rsid w:val="00800562"/>
    <w:rsid w:val="008005B3"/>
    <w:rsid w:val="008017D7"/>
    <w:rsid w:val="00802428"/>
    <w:rsid w:val="00804531"/>
    <w:rsid w:val="00804A9B"/>
    <w:rsid w:val="008054B5"/>
    <w:rsid w:val="008062DF"/>
    <w:rsid w:val="0080665E"/>
    <w:rsid w:val="008077CA"/>
    <w:rsid w:val="00812DD3"/>
    <w:rsid w:val="0081399E"/>
    <w:rsid w:val="0081568B"/>
    <w:rsid w:val="00815EEA"/>
    <w:rsid w:val="00815F52"/>
    <w:rsid w:val="008171D1"/>
    <w:rsid w:val="0081740C"/>
    <w:rsid w:val="008219A5"/>
    <w:rsid w:val="008225AB"/>
    <w:rsid w:val="00822C60"/>
    <w:rsid w:val="00822DAD"/>
    <w:rsid w:val="0082307F"/>
    <w:rsid w:val="00823BCB"/>
    <w:rsid w:val="008240E4"/>
    <w:rsid w:val="00824125"/>
    <w:rsid w:val="008245B3"/>
    <w:rsid w:val="008247E1"/>
    <w:rsid w:val="00824BF6"/>
    <w:rsid w:val="008255AB"/>
    <w:rsid w:val="00825F06"/>
    <w:rsid w:val="00826016"/>
    <w:rsid w:val="0082647E"/>
    <w:rsid w:val="0082670E"/>
    <w:rsid w:val="00826B4B"/>
    <w:rsid w:val="00826EC4"/>
    <w:rsid w:val="008274E3"/>
    <w:rsid w:val="008279CD"/>
    <w:rsid w:val="0083033B"/>
    <w:rsid w:val="008306C8"/>
    <w:rsid w:val="0083257B"/>
    <w:rsid w:val="008334AA"/>
    <w:rsid w:val="008334D9"/>
    <w:rsid w:val="00833620"/>
    <w:rsid w:val="0083528C"/>
    <w:rsid w:val="00836544"/>
    <w:rsid w:val="008366D9"/>
    <w:rsid w:val="00836F2F"/>
    <w:rsid w:val="00837C99"/>
    <w:rsid w:val="00837FD6"/>
    <w:rsid w:val="00840299"/>
    <w:rsid w:val="00840ED8"/>
    <w:rsid w:val="0084122E"/>
    <w:rsid w:val="0084221B"/>
    <w:rsid w:val="00842B15"/>
    <w:rsid w:val="00842E27"/>
    <w:rsid w:val="00844BB8"/>
    <w:rsid w:val="00844E61"/>
    <w:rsid w:val="00845658"/>
    <w:rsid w:val="00845BC5"/>
    <w:rsid w:val="00845BE5"/>
    <w:rsid w:val="00845E95"/>
    <w:rsid w:val="00846634"/>
    <w:rsid w:val="00846818"/>
    <w:rsid w:val="00846D94"/>
    <w:rsid w:val="0084733D"/>
    <w:rsid w:val="008539A7"/>
    <w:rsid w:val="00853B6A"/>
    <w:rsid w:val="0085454A"/>
    <w:rsid w:val="0085472F"/>
    <w:rsid w:val="0085491A"/>
    <w:rsid w:val="0085513D"/>
    <w:rsid w:val="00855AB4"/>
    <w:rsid w:val="00855C8E"/>
    <w:rsid w:val="00855D47"/>
    <w:rsid w:val="00855F42"/>
    <w:rsid w:val="0085607A"/>
    <w:rsid w:val="008562D0"/>
    <w:rsid w:val="00856EB2"/>
    <w:rsid w:val="008575CD"/>
    <w:rsid w:val="00857ADD"/>
    <w:rsid w:val="00860474"/>
    <w:rsid w:val="00862395"/>
    <w:rsid w:val="00862DC9"/>
    <w:rsid w:val="008635C1"/>
    <w:rsid w:val="00864953"/>
    <w:rsid w:val="00864A96"/>
    <w:rsid w:val="00864CEA"/>
    <w:rsid w:val="00864EFE"/>
    <w:rsid w:val="00866790"/>
    <w:rsid w:val="0086690A"/>
    <w:rsid w:val="00866B25"/>
    <w:rsid w:val="00866DDB"/>
    <w:rsid w:val="008700AD"/>
    <w:rsid w:val="008703E7"/>
    <w:rsid w:val="0087081A"/>
    <w:rsid w:val="00870A08"/>
    <w:rsid w:val="00870F73"/>
    <w:rsid w:val="00871A0A"/>
    <w:rsid w:val="008721D3"/>
    <w:rsid w:val="0087296B"/>
    <w:rsid w:val="00872CC4"/>
    <w:rsid w:val="00872D62"/>
    <w:rsid w:val="008739CC"/>
    <w:rsid w:val="00873D52"/>
    <w:rsid w:val="0087485F"/>
    <w:rsid w:val="00874C60"/>
    <w:rsid w:val="00874D71"/>
    <w:rsid w:val="00874DE5"/>
    <w:rsid w:val="0087514F"/>
    <w:rsid w:val="008764CE"/>
    <w:rsid w:val="00876C68"/>
    <w:rsid w:val="00876FE9"/>
    <w:rsid w:val="00877762"/>
    <w:rsid w:val="0087791C"/>
    <w:rsid w:val="008779BF"/>
    <w:rsid w:val="00877A10"/>
    <w:rsid w:val="008800EB"/>
    <w:rsid w:val="0088133A"/>
    <w:rsid w:val="008814B1"/>
    <w:rsid w:val="00881EC3"/>
    <w:rsid w:val="00883ADE"/>
    <w:rsid w:val="008841CA"/>
    <w:rsid w:val="0088426F"/>
    <w:rsid w:val="0088439A"/>
    <w:rsid w:val="00884FCF"/>
    <w:rsid w:val="008859F0"/>
    <w:rsid w:val="00885B2A"/>
    <w:rsid w:val="00885C07"/>
    <w:rsid w:val="008872F7"/>
    <w:rsid w:val="00887F7A"/>
    <w:rsid w:val="00891005"/>
    <w:rsid w:val="00891B37"/>
    <w:rsid w:val="00893400"/>
    <w:rsid w:val="00894910"/>
    <w:rsid w:val="00894E4A"/>
    <w:rsid w:val="00895AD4"/>
    <w:rsid w:val="00895EAF"/>
    <w:rsid w:val="008A03C3"/>
    <w:rsid w:val="008A0BB7"/>
    <w:rsid w:val="008A127C"/>
    <w:rsid w:val="008A19D5"/>
    <w:rsid w:val="008A23C3"/>
    <w:rsid w:val="008A3326"/>
    <w:rsid w:val="008A389E"/>
    <w:rsid w:val="008A38CC"/>
    <w:rsid w:val="008A4164"/>
    <w:rsid w:val="008A53A8"/>
    <w:rsid w:val="008A55DA"/>
    <w:rsid w:val="008A5939"/>
    <w:rsid w:val="008A7F87"/>
    <w:rsid w:val="008B03F8"/>
    <w:rsid w:val="008B0FFC"/>
    <w:rsid w:val="008B1EA4"/>
    <w:rsid w:val="008B2EDD"/>
    <w:rsid w:val="008B2FB1"/>
    <w:rsid w:val="008B38EB"/>
    <w:rsid w:val="008B3A82"/>
    <w:rsid w:val="008B451C"/>
    <w:rsid w:val="008B45DE"/>
    <w:rsid w:val="008B4B96"/>
    <w:rsid w:val="008B4CEC"/>
    <w:rsid w:val="008B5A73"/>
    <w:rsid w:val="008B6C45"/>
    <w:rsid w:val="008B7183"/>
    <w:rsid w:val="008C16A1"/>
    <w:rsid w:val="008C43BC"/>
    <w:rsid w:val="008C4992"/>
    <w:rsid w:val="008C502D"/>
    <w:rsid w:val="008C53EE"/>
    <w:rsid w:val="008C56B6"/>
    <w:rsid w:val="008C59EE"/>
    <w:rsid w:val="008C5D36"/>
    <w:rsid w:val="008C663D"/>
    <w:rsid w:val="008C687D"/>
    <w:rsid w:val="008C7FF8"/>
    <w:rsid w:val="008D0466"/>
    <w:rsid w:val="008D0B9D"/>
    <w:rsid w:val="008D0DFD"/>
    <w:rsid w:val="008D137C"/>
    <w:rsid w:val="008D249C"/>
    <w:rsid w:val="008D3E8F"/>
    <w:rsid w:val="008D511E"/>
    <w:rsid w:val="008D5C79"/>
    <w:rsid w:val="008D5D55"/>
    <w:rsid w:val="008D6C66"/>
    <w:rsid w:val="008E0298"/>
    <w:rsid w:val="008E0FD1"/>
    <w:rsid w:val="008E19C5"/>
    <w:rsid w:val="008E2319"/>
    <w:rsid w:val="008E2D79"/>
    <w:rsid w:val="008E4690"/>
    <w:rsid w:val="008E487D"/>
    <w:rsid w:val="008E4FE9"/>
    <w:rsid w:val="008E500F"/>
    <w:rsid w:val="008E5FB1"/>
    <w:rsid w:val="008E64E7"/>
    <w:rsid w:val="008E6A8C"/>
    <w:rsid w:val="008E72E4"/>
    <w:rsid w:val="008E765D"/>
    <w:rsid w:val="008F106D"/>
    <w:rsid w:val="008F1103"/>
    <w:rsid w:val="008F172C"/>
    <w:rsid w:val="008F2C01"/>
    <w:rsid w:val="008F3783"/>
    <w:rsid w:val="008F38AC"/>
    <w:rsid w:val="008F443B"/>
    <w:rsid w:val="008F531E"/>
    <w:rsid w:val="008F5FF6"/>
    <w:rsid w:val="008F639A"/>
    <w:rsid w:val="008F726E"/>
    <w:rsid w:val="008F7FAB"/>
    <w:rsid w:val="00900666"/>
    <w:rsid w:val="00900DF2"/>
    <w:rsid w:val="009010EB"/>
    <w:rsid w:val="00901E49"/>
    <w:rsid w:val="00902A5B"/>
    <w:rsid w:val="0090419D"/>
    <w:rsid w:val="009043E6"/>
    <w:rsid w:val="00904BC9"/>
    <w:rsid w:val="009053E3"/>
    <w:rsid w:val="0090734F"/>
    <w:rsid w:val="00910F91"/>
    <w:rsid w:val="00912722"/>
    <w:rsid w:val="009127E1"/>
    <w:rsid w:val="00912952"/>
    <w:rsid w:val="00913409"/>
    <w:rsid w:val="0091370E"/>
    <w:rsid w:val="00913A01"/>
    <w:rsid w:val="00914D5E"/>
    <w:rsid w:val="00916B4B"/>
    <w:rsid w:val="00916FD9"/>
    <w:rsid w:val="00917A6E"/>
    <w:rsid w:val="009217C4"/>
    <w:rsid w:val="009229D5"/>
    <w:rsid w:val="0092316B"/>
    <w:rsid w:val="009237E7"/>
    <w:rsid w:val="009240B0"/>
    <w:rsid w:val="00926307"/>
    <w:rsid w:val="009274DF"/>
    <w:rsid w:val="00927947"/>
    <w:rsid w:val="00927A1F"/>
    <w:rsid w:val="0093000F"/>
    <w:rsid w:val="00930CC0"/>
    <w:rsid w:val="0093197A"/>
    <w:rsid w:val="009320F9"/>
    <w:rsid w:val="00933CEA"/>
    <w:rsid w:val="0093448A"/>
    <w:rsid w:val="009347A0"/>
    <w:rsid w:val="009349BD"/>
    <w:rsid w:val="009349E7"/>
    <w:rsid w:val="009350F0"/>
    <w:rsid w:val="0093571C"/>
    <w:rsid w:val="00937328"/>
    <w:rsid w:val="00937439"/>
    <w:rsid w:val="00940307"/>
    <w:rsid w:val="009407CF"/>
    <w:rsid w:val="00941046"/>
    <w:rsid w:val="0094127E"/>
    <w:rsid w:val="0094191F"/>
    <w:rsid w:val="0094302D"/>
    <w:rsid w:val="0094351F"/>
    <w:rsid w:val="009439BB"/>
    <w:rsid w:val="00943D7E"/>
    <w:rsid w:val="00944CA4"/>
    <w:rsid w:val="0094536C"/>
    <w:rsid w:val="0094654B"/>
    <w:rsid w:val="00946DA1"/>
    <w:rsid w:val="0094758F"/>
    <w:rsid w:val="00947715"/>
    <w:rsid w:val="00950520"/>
    <w:rsid w:val="00950AA9"/>
    <w:rsid w:val="0095148B"/>
    <w:rsid w:val="00952AEA"/>
    <w:rsid w:val="00952B29"/>
    <w:rsid w:val="00952C1E"/>
    <w:rsid w:val="009533FD"/>
    <w:rsid w:val="00953650"/>
    <w:rsid w:val="00954159"/>
    <w:rsid w:val="00956A1E"/>
    <w:rsid w:val="00956AD8"/>
    <w:rsid w:val="00960806"/>
    <w:rsid w:val="00960AE2"/>
    <w:rsid w:val="00961C4A"/>
    <w:rsid w:val="00961EBB"/>
    <w:rsid w:val="0096205F"/>
    <w:rsid w:val="0096223A"/>
    <w:rsid w:val="009622D7"/>
    <w:rsid w:val="00962484"/>
    <w:rsid w:val="009628FD"/>
    <w:rsid w:val="00963813"/>
    <w:rsid w:val="00963814"/>
    <w:rsid w:val="00963967"/>
    <w:rsid w:val="00963DE8"/>
    <w:rsid w:val="00963E4F"/>
    <w:rsid w:val="0096422E"/>
    <w:rsid w:val="009645A2"/>
    <w:rsid w:val="00966CD4"/>
    <w:rsid w:val="00967730"/>
    <w:rsid w:val="00970999"/>
    <w:rsid w:val="00974204"/>
    <w:rsid w:val="009743DF"/>
    <w:rsid w:val="009764F5"/>
    <w:rsid w:val="0097778C"/>
    <w:rsid w:val="0097790A"/>
    <w:rsid w:val="00977D86"/>
    <w:rsid w:val="00980D7B"/>
    <w:rsid w:val="009843B7"/>
    <w:rsid w:val="00984404"/>
    <w:rsid w:val="00984C40"/>
    <w:rsid w:val="00985182"/>
    <w:rsid w:val="009854BE"/>
    <w:rsid w:val="0098556D"/>
    <w:rsid w:val="009861FD"/>
    <w:rsid w:val="009865FA"/>
    <w:rsid w:val="00986CBA"/>
    <w:rsid w:val="00987274"/>
    <w:rsid w:val="009874FF"/>
    <w:rsid w:val="00987BB7"/>
    <w:rsid w:val="0099071C"/>
    <w:rsid w:val="00990778"/>
    <w:rsid w:val="00990CFF"/>
    <w:rsid w:val="009914CA"/>
    <w:rsid w:val="009922EE"/>
    <w:rsid w:val="009925C1"/>
    <w:rsid w:val="00992F0E"/>
    <w:rsid w:val="009934F7"/>
    <w:rsid w:val="00994B9B"/>
    <w:rsid w:val="00996079"/>
    <w:rsid w:val="00996757"/>
    <w:rsid w:val="00996F90"/>
    <w:rsid w:val="00997E1F"/>
    <w:rsid w:val="009A2002"/>
    <w:rsid w:val="009A2684"/>
    <w:rsid w:val="009A3EB2"/>
    <w:rsid w:val="009A4870"/>
    <w:rsid w:val="009A4E05"/>
    <w:rsid w:val="009A4F54"/>
    <w:rsid w:val="009A4F76"/>
    <w:rsid w:val="009A5160"/>
    <w:rsid w:val="009A5996"/>
    <w:rsid w:val="009A5AC3"/>
    <w:rsid w:val="009A5D0B"/>
    <w:rsid w:val="009A6489"/>
    <w:rsid w:val="009A65DA"/>
    <w:rsid w:val="009A6F40"/>
    <w:rsid w:val="009A7928"/>
    <w:rsid w:val="009B1486"/>
    <w:rsid w:val="009B1548"/>
    <w:rsid w:val="009B1570"/>
    <w:rsid w:val="009B195B"/>
    <w:rsid w:val="009B1B79"/>
    <w:rsid w:val="009B1DAF"/>
    <w:rsid w:val="009B281A"/>
    <w:rsid w:val="009B2A5B"/>
    <w:rsid w:val="009B3819"/>
    <w:rsid w:val="009B3FB9"/>
    <w:rsid w:val="009B72B1"/>
    <w:rsid w:val="009B78FC"/>
    <w:rsid w:val="009C037F"/>
    <w:rsid w:val="009C04BF"/>
    <w:rsid w:val="009C068F"/>
    <w:rsid w:val="009C1DBC"/>
    <w:rsid w:val="009C2940"/>
    <w:rsid w:val="009C36E1"/>
    <w:rsid w:val="009C3D5B"/>
    <w:rsid w:val="009C3E51"/>
    <w:rsid w:val="009C5DD1"/>
    <w:rsid w:val="009C63A3"/>
    <w:rsid w:val="009C7427"/>
    <w:rsid w:val="009D0337"/>
    <w:rsid w:val="009D1A2D"/>
    <w:rsid w:val="009D229A"/>
    <w:rsid w:val="009D288B"/>
    <w:rsid w:val="009D3A75"/>
    <w:rsid w:val="009D3D53"/>
    <w:rsid w:val="009D4B1C"/>
    <w:rsid w:val="009D582E"/>
    <w:rsid w:val="009D5AE9"/>
    <w:rsid w:val="009D647A"/>
    <w:rsid w:val="009E046F"/>
    <w:rsid w:val="009E069C"/>
    <w:rsid w:val="009E0E77"/>
    <w:rsid w:val="009E1688"/>
    <w:rsid w:val="009E1C34"/>
    <w:rsid w:val="009E2112"/>
    <w:rsid w:val="009E2971"/>
    <w:rsid w:val="009E2BA7"/>
    <w:rsid w:val="009E2D0F"/>
    <w:rsid w:val="009E30F2"/>
    <w:rsid w:val="009E3AE4"/>
    <w:rsid w:val="009E60B5"/>
    <w:rsid w:val="009E75C8"/>
    <w:rsid w:val="009F0ACD"/>
    <w:rsid w:val="009F0F56"/>
    <w:rsid w:val="009F103D"/>
    <w:rsid w:val="009F17F1"/>
    <w:rsid w:val="009F2385"/>
    <w:rsid w:val="009F4FEA"/>
    <w:rsid w:val="009F52CB"/>
    <w:rsid w:val="009F6DC3"/>
    <w:rsid w:val="009F76FF"/>
    <w:rsid w:val="00A001C2"/>
    <w:rsid w:val="00A002B4"/>
    <w:rsid w:val="00A00491"/>
    <w:rsid w:val="00A00676"/>
    <w:rsid w:val="00A012C9"/>
    <w:rsid w:val="00A01873"/>
    <w:rsid w:val="00A02A5B"/>
    <w:rsid w:val="00A0317A"/>
    <w:rsid w:val="00A0333C"/>
    <w:rsid w:val="00A033CB"/>
    <w:rsid w:val="00A035A3"/>
    <w:rsid w:val="00A036A5"/>
    <w:rsid w:val="00A042D5"/>
    <w:rsid w:val="00A0444A"/>
    <w:rsid w:val="00A045FD"/>
    <w:rsid w:val="00A05DB1"/>
    <w:rsid w:val="00A05EFE"/>
    <w:rsid w:val="00A1025D"/>
    <w:rsid w:val="00A1026E"/>
    <w:rsid w:val="00A1194A"/>
    <w:rsid w:val="00A119B2"/>
    <w:rsid w:val="00A120A3"/>
    <w:rsid w:val="00A15845"/>
    <w:rsid w:val="00A15D9A"/>
    <w:rsid w:val="00A16D0D"/>
    <w:rsid w:val="00A178B1"/>
    <w:rsid w:val="00A17BA8"/>
    <w:rsid w:val="00A200C6"/>
    <w:rsid w:val="00A2035F"/>
    <w:rsid w:val="00A20601"/>
    <w:rsid w:val="00A2097A"/>
    <w:rsid w:val="00A211A0"/>
    <w:rsid w:val="00A21983"/>
    <w:rsid w:val="00A21CE1"/>
    <w:rsid w:val="00A22125"/>
    <w:rsid w:val="00A22DE7"/>
    <w:rsid w:val="00A235C9"/>
    <w:rsid w:val="00A23E8C"/>
    <w:rsid w:val="00A246A9"/>
    <w:rsid w:val="00A24CF6"/>
    <w:rsid w:val="00A26460"/>
    <w:rsid w:val="00A265EC"/>
    <w:rsid w:val="00A26A47"/>
    <w:rsid w:val="00A276A6"/>
    <w:rsid w:val="00A2792B"/>
    <w:rsid w:val="00A302F0"/>
    <w:rsid w:val="00A30D61"/>
    <w:rsid w:val="00A31C9D"/>
    <w:rsid w:val="00A32475"/>
    <w:rsid w:val="00A324D0"/>
    <w:rsid w:val="00A3264C"/>
    <w:rsid w:val="00A337AE"/>
    <w:rsid w:val="00A3443A"/>
    <w:rsid w:val="00A35AB8"/>
    <w:rsid w:val="00A36168"/>
    <w:rsid w:val="00A3645A"/>
    <w:rsid w:val="00A3695A"/>
    <w:rsid w:val="00A37772"/>
    <w:rsid w:val="00A400F4"/>
    <w:rsid w:val="00A40E40"/>
    <w:rsid w:val="00A41105"/>
    <w:rsid w:val="00A422B4"/>
    <w:rsid w:val="00A431EC"/>
    <w:rsid w:val="00A43851"/>
    <w:rsid w:val="00A44E1A"/>
    <w:rsid w:val="00A44EAC"/>
    <w:rsid w:val="00A44EDF"/>
    <w:rsid w:val="00A46E77"/>
    <w:rsid w:val="00A500B8"/>
    <w:rsid w:val="00A51424"/>
    <w:rsid w:val="00A5164E"/>
    <w:rsid w:val="00A53110"/>
    <w:rsid w:val="00A5376A"/>
    <w:rsid w:val="00A53D30"/>
    <w:rsid w:val="00A54884"/>
    <w:rsid w:val="00A54E4B"/>
    <w:rsid w:val="00A54FD2"/>
    <w:rsid w:val="00A5560C"/>
    <w:rsid w:val="00A565FD"/>
    <w:rsid w:val="00A56D2B"/>
    <w:rsid w:val="00A56E9D"/>
    <w:rsid w:val="00A5715B"/>
    <w:rsid w:val="00A57965"/>
    <w:rsid w:val="00A6186D"/>
    <w:rsid w:val="00A6189D"/>
    <w:rsid w:val="00A626A9"/>
    <w:rsid w:val="00A62D4A"/>
    <w:rsid w:val="00A647DE"/>
    <w:rsid w:val="00A65339"/>
    <w:rsid w:val="00A65B56"/>
    <w:rsid w:val="00A65C09"/>
    <w:rsid w:val="00A65CB8"/>
    <w:rsid w:val="00A66336"/>
    <w:rsid w:val="00A66409"/>
    <w:rsid w:val="00A70C98"/>
    <w:rsid w:val="00A7134E"/>
    <w:rsid w:val="00A719C1"/>
    <w:rsid w:val="00A72473"/>
    <w:rsid w:val="00A732A0"/>
    <w:rsid w:val="00A758F5"/>
    <w:rsid w:val="00A75FEC"/>
    <w:rsid w:val="00A765EA"/>
    <w:rsid w:val="00A77D75"/>
    <w:rsid w:val="00A77FEC"/>
    <w:rsid w:val="00A818FF"/>
    <w:rsid w:val="00A81EFC"/>
    <w:rsid w:val="00A83222"/>
    <w:rsid w:val="00A834BD"/>
    <w:rsid w:val="00A83FF1"/>
    <w:rsid w:val="00A8409B"/>
    <w:rsid w:val="00A84469"/>
    <w:rsid w:val="00A8461C"/>
    <w:rsid w:val="00A84B2A"/>
    <w:rsid w:val="00A85B3D"/>
    <w:rsid w:val="00A865B5"/>
    <w:rsid w:val="00A87239"/>
    <w:rsid w:val="00A8775E"/>
    <w:rsid w:val="00A9094F"/>
    <w:rsid w:val="00A92DD7"/>
    <w:rsid w:val="00A93782"/>
    <w:rsid w:val="00A93B0C"/>
    <w:rsid w:val="00A93B80"/>
    <w:rsid w:val="00A946F7"/>
    <w:rsid w:val="00A94EA2"/>
    <w:rsid w:val="00A959E3"/>
    <w:rsid w:val="00A965C6"/>
    <w:rsid w:val="00A96DEF"/>
    <w:rsid w:val="00A97CB9"/>
    <w:rsid w:val="00AA15CB"/>
    <w:rsid w:val="00AA1717"/>
    <w:rsid w:val="00AA1A9E"/>
    <w:rsid w:val="00AA24E6"/>
    <w:rsid w:val="00AA2F8E"/>
    <w:rsid w:val="00AA385C"/>
    <w:rsid w:val="00AA3A6E"/>
    <w:rsid w:val="00AA40F6"/>
    <w:rsid w:val="00AA426D"/>
    <w:rsid w:val="00AA4331"/>
    <w:rsid w:val="00AA4B6F"/>
    <w:rsid w:val="00AA5EDC"/>
    <w:rsid w:val="00AA6051"/>
    <w:rsid w:val="00AB0209"/>
    <w:rsid w:val="00AB049E"/>
    <w:rsid w:val="00AB07BA"/>
    <w:rsid w:val="00AB08A9"/>
    <w:rsid w:val="00AB0B2D"/>
    <w:rsid w:val="00AB1057"/>
    <w:rsid w:val="00AB1133"/>
    <w:rsid w:val="00AB1465"/>
    <w:rsid w:val="00AB1BA0"/>
    <w:rsid w:val="00AB244A"/>
    <w:rsid w:val="00AB25BE"/>
    <w:rsid w:val="00AB3ED5"/>
    <w:rsid w:val="00AB4199"/>
    <w:rsid w:val="00AB4878"/>
    <w:rsid w:val="00AB4A27"/>
    <w:rsid w:val="00AB5035"/>
    <w:rsid w:val="00AB51A0"/>
    <w:rsid w:val="00AB59BC"/>
    <w:rsid w:val="00AB5B79"/>
    <w:rsid w:val="00AB5E4E"/>
    <w:rsid w:val="00AB6901"/>
    <w:rsid w:val="00AB6E7D"/>
    <w:rsid w:val="00AB77B5"/>
    <w:rsid w:val="00AC0BE5"/>
    <w:rsid w:val="00AC1517"/>
    <w:rsid w:val="00AC1E55"/>
    <w:rsid w:val="00AC2B1D"/>
    <w:rsid w:val="00AC32E1"/>
    <w:rsid w:val="00AC3B38"/>
    <w:rsid w:val="00AC3FA9"/>
    <w:rsid w:val="00AC4056"/>
    <w:rsid w:val="00AC5A1F"/>
    <w:rsid w:val="00AC6E91"/>
    <w:rsid w:val="00AC7A5E"/>
    <w:rsid w:val="00AC7D6D"/>
    <w:rsid w:val="00AC7F31"/>
    <w:rsid w:val="00AD0648"/>
    <w:rsid w:val="00AD0A36"/>
    <w:rsid w:val="00AD0C56"/>
    <w:rsid w:val="00AD0FB0"/>
    <w:rsid w:val="00AD1374"/>
    <w:rsid w:val="00AD1381"/>
    <w:rsid w:val="00AD1BE7"/>
    <w:rsid w:val="00AD2F69"/>
    <w:rsid w:val="00AD6185"/>
    <w:rsid w:val="00AD78FC"/>
    <w:rsid w:val="00AE0A35"/>
    <w:rsid w:val="00AE1189"/>
    <w:rsid w:val="00AE161C"/>
    <w:rsid w:val="00AE1672"/>
    <w:rsid w:val="00AE186D"/>
    <w:rsid w:val="00AE22D2"/>
    <w:rsid w:val="00AE28D2"/>
    <w:rsid w:val="00AE2946"/>
    <w:rsid w:val="00AE4E49"/>
    <w:rsid w:val="00AE5186"/>
    <w:rsid w:val="00AE5741"/>
    <w:rsid w:val="00AE6716"/>
    <w:rsid w:val="00AE754A"/>
    <w:rsid w:val="00AE7598"/>
    <w:rsid w:val="00AF0081"/>
    <w:rsid w:val="00AF14E3"/>
    <w:rsid w:val="00AF24C7"/>
    <w:rsid w:val="00AF2BED"/>
    <w:rsid w:val="00AF4EEE"/>
    <w:rsid w:val="00AF53EA"/>
    <w:rsid w:val="00AF67C0"/>
    <w:rsid w:val="00AF6CBD"/>
    <w:rsid w:val="00AF718F"/>
    <w:rsid w:val="00AF7D36"/>
    <w:rsid w:val="00B0018F"/>
    <w:rsid w:val="00B0063A"/>
    <w:rsid w:val="00B013D7"/>
    <w:rsid w:val="00B01C77"/>
    <w:rsid w:val="00B02D9C"/>
    <w:rsid w:val="00B03860"/>
    <w:rsid w:val="00B046C1"/>
    <w:rsid w:val="00B04BDB"/>
    <w:rsid w:val="00B053AC"/>
    <w:rsid w:val="00B0569C"/>
    <w:rsid w:val="00B0590D"/>
    <w:rsid w:val="00B05EC6"/>
    <w:rsid w:val="00B0730F"/>
    <w:rsid w:val="00B077D1"/>
    <w:rsid w:val="00B108A6"/>
    <w:rsid w:val="00B1232E"/>
    <w:rsid w:val="00B123B6"/>
    <w:rsid w:val="00B13909"/>
    <w:rsid w:val="00B13919"/>
    <w:rsid w:val="00B15439"/>
    <w:rsid w:val="00B15EFF"/>
    <w:rsid w:val="00B16BF2"/>
    <w:rsid w:val="00B16C13"/>
    <w:rsid w:val="00B17538"/>
    <w:rsid w:val="00B179D4"/>
    <w:rsid w:val="00B20921"/>
    <w:rsid w:val="00B219CC"/>
    <w:rsid w:val="00B222A6"/>
    <w:rsid w:val="00B23175"/>
    <w:rsid w:val="00B26758"/>
    <w:rsid w:val="00B270C7"/>
    <w:rsid w:val="00B2747A"/>
    <w:rsid w:val="00B27938"/>
    <w:rsid w:val="00B27967"/>
    <w:rsid w:val="00B27ED1"/>
    <w:rsid w:val="00B301AD"/>
    <w:rsid w:val="00B30C9B"/>
    <w:rsid w:val="00B313C3"/>
    <w:rsid w:val="00B322E1"/>
    <w:rsid w:val="00B32A10"/>
    <w:rsid w:val="00B33441"/>
    <w:rsid w:val="00B334F0"/>
    <w:rsid w:val="00B349D8"/>
    <w:rsid w:val="00B34F1E"/>
    <w:rsid w:val="00B35B29"/>
    <w:rsid w:val="00B362A4"/>
    <w:rsid w:val="00B366CE"/>
    <w:rsid w:val="00B36862"/>
    <w:rsid w:val="00B36C37"/>
    <w:rsid w:val="00B376C4"/>
    <w:rsid w:val="00B37EA3"/>
    <w:rsid w:val="00B4045C"/>
    <w:rsid w:val="00B42D31"/>
    <w:rsid w:val="00B43B8E"/>
    <w:rsid w:val="00B43BB1"/>
    <w:rsid w:val="00B43E22"/>
    <w:rsid w:val="00B44536"/>
    <w:rsid w:val="00B44B42"/>
    <w:rsid w:val="00B45DDB"/>
    <w:rsid w:val="00B46045"/>
    <w:rsid w:val="00B47B9F"/>
    <w:rsid w:val="00B50945"/>
    <w:rsid w:val="00B511C6"/>
    <w:rsid w:val="00B5154C"/>
    <w:rsid w:val="00B518DC"/>
    <w:rsid w:val="00B53197"/>
    <w:rsid w:val="00B53596"/>
    <w:rsid w:val="00B54880"/>
    <w:rsid w:val="00B55523"/>
    <w:rsid w:val="00B565B1"/>
    <w:rsid w:val="00B567C1"/>
    <w:rsid w:val="00B56BB0"/>
    <w:rsid w:val="00B6031F"/>
    <w:rsid w:val="00B60E56"/>
    <w:rsid w:val="00B61A1C"/>
    <w:rsid w:val="00B634E7"/>
    <w:rsid w:val="00B6351D"/>
    <w:rsid w:val="00B63627"/>
    <w:rsid w:val="00B644AF"/>
    <w:rsid w:val="00B661CB"/>
    <w:rsid w:val="00B665EF"/>
    <w:rsid w:val="00B677A9"/>
    <w:rsid w:val="00B70B34"/>
    <w:rsid w:val="00B70BC9"/>
    <w:rsid w:val="00B71BF1"/>
    <w:rsid w:val="00B71E79"/>
    <w:rsid w:val="00B73FEC"/>
    <w:rsid w:val="00B75201"/>
    <w:rsid w:val="00B7627C"/>
    <w:rsid w:val="00B768BA"/>
    <w:rsid w:val="00B7704C"/>
    <w:rsid w:val="00B7749D"/>
    <w:rsid w:val="00B8029A"/>
    <w:rsid w:val="00B8031B"/>
    <w:rsid w:val="00B8122A"/>
    <w:rsid w:val="00B814B2"/>
    <w:rsid w:val="00B81D1E"/>
    <w:rsid w:val="00B8218F"/>
    <w:rsid w:val="00B84054"/>
    <w:rsid w:val="00B84401"/>
    <w:rsid w:val="00B84425"/>
    <w:rsid w:val="00B84AE2"/>
    <w:rsid w:val="00B84B34"/>
    <w:rsid w:val="00B84D9C"/>
    <w:rsid w:val="00B85081"/>
    <w:rsid w:val="00B875C0"/>
    <w:rsid w:val="00B87BEE"/>
    <w:rsid w:val="00B91574"/>
    <w:rsid w:val="00B91B4C"/>
    <w:rsid w:val="00B92FB6"/>
    <w:rsid w:val="00B95562"/>
    <w:rsid w:val="00B959D4"/>
    <w:rsid w:val="00B97553"/>
    <w:rsid w:val="00B97751"/>
    <w:rsid w:val="00BA1907"/>
    <w:rsid w:val="00BA1B41"/>
    <w:rsid w:val="00BA3A25"/>
    <w:rsid w:val="00BA3B81"/>
    <w:rsid w:val="00BA447D"/>
    <w:rsid w:val="00BA476F"/>
    <w:rsid w:val="00BA47F1"/>
    <w:rsid w:val="00BA494A"/>
    <w:rsid w:val="00BA60C3"/>
    <w:rsid w:val="00BA61F5"/>
    <w:rsid w:val="00BA64BB"/>
    <w:rsid w:val="00BA6EE5"/>
    <w:rsid w:val="00BA7526"/>
    <w:rsid w:val="00BA77BE"/>
    <w:rsid w:val="00BA7B4C"/>
    <w:rsid w:val="00BA7D9D"/>
    <w:rsid w:val="00BB0A8B"/>
    <w:rsid w:val="00BB0CB7"/>
    <w:rsid w:val="00BB149C"/>
    <w:rsid w:val="00BB19E5"/>
    <w:rsid w:val="00BB1B79"/>
    <w:rsid w:val="00BB1CFB"/>
    <w:rsid w:val="00BB1DDA"/>
    <w:rsid w:val="00BB2CF7"/>
    <w:rsid w:val="00BB2D13"/>
    <w:rsid w:val="00BB2F7A"/>
    <w:rsid w:val="00BB35ED"/>
    <w:rsid w:val="00BB46D9"/>
    <w:rsid w:val="00BB670F"/>
    <w:rsid w:val="00BB7B3C"/>
    <w:rsid w:val="00BC0D07"/>
    <w:rsid w:val="00BC1B19"/>
    <w:rsid w:val="00BC3B68"/>
    <w:rsid w:val="00BC4247"/>
    <w:rsid w:val="00BC4CDD"/>
    <w:rsid w:val="00BC5F5B"/>
    <w:rsid w:val="00BC6130"/>
    <w:rsid w:val="00BC784D"/>
    <w:rsid w:val="00BD0A9E"/>
    <w:rsid w:val="00BD14F0"/>
    <w:rsid w:val="00BD34F6"/>
    <w:rsid w:val="00BD47FE"/>
    <w:rsid w:val="00BD4D59"/>
    <w:rsid w:val="00BD5335"/>
    <w:rsid w:val="00BD60D0"/>
    <w:rsid w:val="00BD7E2B"/>
    <w:rsid w:val="00BE081B"/>
    <w:rsid w:val="00BE1292"/>
    <w:rsid w:val="00BE12D1"/>
    <w:rsid w:val="00BE2521"/>
    <w:rsid w:val="00BE265E"/>
    <w:rsid w:val="00BE2C82"/>
    <w:rsid w:val="00BE4838"/>
    <w:rsid w:val="00BE55AC"/>
    <w:rsid w:val="00BE5658"/>
    <w:rsid w:val="00BE57B5"/>
    <w:rsid w:val="00BF048F"/>
    <w:rsid w:val="00BF1216"/>
    <w:rsid w:val="00BF16A0"/>
    <w:rsid w:val="00BF4E52"/>
    <w:rsid w:val="00BF5191"/>
    <w:rsid w:val="00BF5425"/>
    <w:rsid w:val="00BF69CA"/>
    <w:rsid w:val="00BF6AE8"/>
    <w:rsid w:val="00BF74DB"/>
    <w:rsid w:val="00BF75AC"/>
    <w:rsid w:val="00BF76D3"/>
    <w:rsid w:val="00BF7916"/>
    <w:rsid w:val="00C00055"/>
    <w:rsid w:val="00C00207"/>
    <w:rsid w:val="00C00289"/>
    <w:rsid w:val="00C00784"/>
    <w:rsid w:val="00C00CAA"/>
    <w:rsid w:val="00C0179A"/>
    <w:rsid w:val="00C01A48"/>
    <w:rsid w:val="00C01E3D"/>
    <w:rsid w:val="00C01EC4"/>
    <w:rsid w:val="00C0200F"/>
    <w:rsid w:val="00C033A9"/>
    <w:rsid w:val="00C0403B"/>
    <w:rsid w:val="00C04F24"/>
    <w:rsid w:val="00C05107"/>
    <w:rsid w:val="00C065D9"/>
    <w:rsid w:val="00C07C9A"/>
    <w:rsid w:val="00C07D30"/>
    <w:rsid w:val="00C10991"/>
    <w:rsid w:val="00C10A6C"/>
    <w:rsid w:val="00C12BA3"/>
    <w:rsid w:val="00C14BBD"/>
    <w:rsid w:val="00C16209"/>
    <w:rsid w:val="00C16588"/>
    <w:rsid w:val="00C171D0"/>
    <w:rsid w:val="00C176FC"/>
    <w:rsid w:val="00C20FF4"/>
    <w:rsid w:val="00C213CB"/>
    <w:rsid w:val="00C21991"/>
    <w:rsid w:val="00C23038"/>
    <w:rsid w:val="00C230AF"/>
    <w:rsid w:val="00C23451"/>
    <w:rsid w:val="00C235DB"/>
    <w:rsid w:val="00C2454B"/>
    <w:rsid w:val="00C25071"/>
    <w:rsid w:val="00C25502"/>
    <w:rsid w:val="00C257EA"/>
    <w:rsid w:val="00C26D15"/>
    <w:rsid w:val="00C2708D"/>
    <w:rsid w:val="00C314A2"/>
    <w:rsid w:val="00C319E4"/>
    <w:rsid w:val="00C31AB5"/>
    <w:rsid w:val="00C3280C"/>
    <w:rsid w:val="00C34418"/>
    <w:rsid w:val="00C34626"/>
    <w:rsid w:val="00C34964"/>
    <w:rsid w:val="00C34D17"/>
    <w:rsid w:val="00C372A5"/>
    <w:rsid w:val="00C376A8"/>
    <w:rsid w:val="00C37758"/>
    <w:rsid w:val="00C4089E"/>
    <w:rsid w:val="00C40D62"/>
    <w:rsid w:val="00C42334"/>
    <w:rsid w:val="00C4278E"/>
    <w:rsid w:val="00C43971"/>
    <w:rsid w:val="00C43AE5"/>
    <w:rsid w:val="00C4407B"/>
    <w:rsid w:val="00C44207"/>
    <w:rsid w:val="00C44609"/>
    <w:rsid w:val="00C45C9F"/>
    <w:rsid w:val="00C46BC3"/>
    <w:rsid w:val="00C47E93"/>
    <w:rsid w:val="00C50075"/>
    <w:rsid w:val="00C50C06"/>
    <w:rsid w:val="00C51C73"/>
    <w:rsid w:val="00C522BC"/>
    <w:rsid w:val="00C522E4"/>
    <w:rsid w:val="00C53EB5"/>
    <w:rsid w:val="00C55297"/>
    <w:rsid w:val="00C5531F"/>
    <w:rsid w:val="00C57741"/>
    <w:rsid w:val="00C57BA9"/>
    <w:rsid w:val="00C6042B"/>
    <w:rsid w:val="00C60B0C"/>
    <w:rsid w:val="00C6106B"/>
    <w:rsid w:val="00C61A12"/>
    <w:rsid w:val="00C6325B"/>
    <w:rsid w:val="00C638D8"/>
    <w:rsid w:val="00C63AF7"/>
    <w:rsid w:val="00C660CF"/>
    <w:rsid w:val="00C6795B"/>
    <w:rsid w:val="00C67E81"/>
    <w:rsid w:val="00C721C4"/>
    <w:rsid w:val="00C729CB"/>
    <w:rsid w:val="00C72DC9"/>
    <w:rsid w:val="00C736A7"/>
    <w:rsid w:val="00C74117"/>
    <w:rsid w:val="00C743BC"/>
    <w:rsid w:val="00C7453C"/>
    <w:rsid w:val="00C7458C"/>
    <w:rsid w:val="00C74CD2"/>
    <w:rsid w:val="00C75D62"/>
    <w:rsid w:val="00C772C9"/>
    <w:rsid w:val="00C77B65"/>
    <w:rsid w:val="00C77C23"/>
    <w:rsid w:val="00C77FCE"/>
    <w:rsid w:val="00C810EC"/>
    <w:rsid w:val="00C814EB"/>
    <w:rsid w:val="00C82D93"/>
    <w:rsid w:val="00C8323D"/>
    <w:rsid w:val="00C84D84"/>
    <w:rsid w:val="00C8506F"/>
    <w:rsid w:val="00C86F64"/>
    <w:rsid w:val="00C87181"/>
    <w:rsid w:val="00C9051F"/>
    <w:rsid w:val="00C9131D"/>
    <w:rsid w:val="00C93221"/>
    <w:rsid w:val="00C950B5"/>
    <w:rsid w:val="00C95218"/>
    <w:rsid w:val="00C95A90"/>
    <w:rsid w:val="00C9620A"/>
    <w:rsid w:val="00C9644D"/>
    <w:rsid w:val="00C969B9"/>
    <w:rsid w:val="00C9723C"/>
    <w:rsid w:val="00C9796A"/>
    <w:rsid w:val="00CA03BD"/>
    <w:rsid w:val="00CA06F7"/>
    <w:rsid w:val="00CA13E8"/>
    <w:rsid w:val="00CA16CE"/>
    <w:rsid w:val="00CA22F4"/>
    <w:rsid w:val="00CA39FE"/>
    <w:rsid w:val="00CA4760"/>
    <w:rsid w:val="00CA48A6"/>
    <w:rsid w:val="00CA5466"/>
    <w:rsid w:val="00CA7306"/>
    <w:rsid w:val="00CA753D"/>
    <w:rsid w:val="00CA7677"/>
    <w:rsid w:val="00CA7891"/>
    <w:rsid w:val="00CA7C27"/>
    <w:rsid w:val="00CA7CA2"/>
    <w:rsid w:val="00CA7DE5"/>
    <w:rsid w:val="00CA7FA6"/>
    <w:rsid w:val="00CB081F"/>
    <w:rsid w:val="00CB15CD"/>
    <w:rsid w:val="00CB19D9"/>
    <w:rsid w:val="00CB2589"/>
    <w:rsid w:val="00CB2F5B"/>
    <w:rsid w:val="00CB528C"/>
    <w:rsid w:val="00CB613C"/>
    <w:rsid w:val="00CB6CF4"/>
    <w:rsid w:val="00CB750C"/>
    <w:rsid w:val="00CC0917"/>
    <w:rsid w:val="00CC0EBA"/>
    <w:rsid w:val="00CC1394"/>
    <w:rsid w:val="00CC269E"/>
    <w:rsid w:val="00CC3312"/>
    <w:rsid w:val="00CC3AE2"/>
    <w:rsid w:val="00CC3D5E"/>
    <w:rsid w:val="00CC48C6"/>
    <w:rsid w:val="00CC5626"/>
    <w:rsid w:val="00CC5750"/>
    <w:rsid w:val="00CC5F06"/>
    <w:rsid w:val="00CD10C0"/>
    <w:rsid w:val="00CD19E1"/>
    <w:rsid w:val="00CD1CFF"/>
    <w:rsid w:val="00CD2E83"/>
    <w:rsid w:val="00CD32CD"/>
    <w:rsid w:val="00CD35EE"/>
    <w:rsid w:val="00CD3ABF"/>
    <w:rsid w:val="00CD3E3D"/>
    <w:rsid w:val="00CD5EE2"/>
    <w:rsid w:val="00CD613B"/>
    <w:rsid w:val="00CD76BE"/>
    <w:rsid w:val="00CE013E"/>
    <w:rsid w:val="00CE1898"/>
    <w:rsid w:val="00CE18EA"/>
    <w:rsid w:val="00CE1961"/>
    <w:rsid w:val="00CE227C"/>
    <w:rsid w:val="00CE25EE"/>
    <w:rsid w:val="00CE2CCD"/>
    <w:rsid w:val="00CE2F3A"/>
    <w:rsid w:val="00CE43ED"/>
    <w:rsid w:val="00CE4CA1"/>
    <w:rsid w:val="00CE56D2"/>
    <w:rsid w:val="00CE5CA4"/>
    <w:rsid w:val="00CE5D1A"/>
    <w:rsid w:val="00CE6E1F"/>
    <w:rsid w:val="00CE7CE8"/>
    <w:rsid w:val="00CF239B"/>
    <w:rsid w:val="00CF2A83"/>
    <w:rsid w:val="00CF2BB4"/>
    <w:rsid w:val="00CF31BF"/>
    <w:rsid w:val="00CF3498"/>
    <w:rsid w:val="00CF3A8B"/>
    <w:rsid w:val="00CF3B09"/>
    <w:rsid w:val="00CF4665"/>
    <w:rsid w:val="00CF477F"/>
    <w:rsid w:val="00CF4B6A"/>
    <w:rsid w:val="00CF54EF"/>
    <w:rsid w:val="00CF5D47"/>
    <w:rsid w:val="00CF5F24"/>
    <w:rsid w:val="00CF61D1"/>
    <w:rsid w:val="00CF66BB"/>
    <w:rsid w:val="00CF670D"/>
    <w:rsid w:val="00CF7203"/>
    <w:rsid w:val="00CF755B"/>
    <w:rsid w:val="00CF7C90"/>
    <w:rsid w:val="00CF7D61"/>
    <w:rsid w:val="00D00FAB"/>
    <w:rsid w:val="00D02E45"/>
    <w:rsid w:val="00D038FF"/>
    <w:rsid w:val="00D043CF"/>
    <w:rsid w:val="00D04F07"/>
    <w:rsid w:val="00D0613B"/>
    <w:rsid w:val="00D07752"/>
    <w:rsid w:val="00D07E63"/>
    <w:rsid w:val="00D105DB"/>
    <w:rsid w:val="00D1181B"/>
    <w:rsid w:val="00D12007"/>
    <w:rsid w:val="00D121FD"/>
    <w:rsid w:val="00D138B8"/>
    <w:rsid w:val="00D13B4E"/>
    <w:rsid w:val="00D14D92"/>
    <w:rsid w:val="00D1509A"/>
    <w:rsid w:val="00D16B41"/>
    <w:rsid w:val="00D174A5"/>
    <w:rsid w:val="00D17CFC"/>
    <w:rsid w:val="00D17D7C"/>
    <w:rsid w:val="00D20D3A"/>
    <w:rsid w:val="00D21B66"/>
    <w:rsid w:val="00D21E70"/>
    <w:rsid w:val="00D227FD"/>
    <w:rsid w:val="00D229E9"/>
    <w:rsid w:val="00D23392"/>
    <w:rsid w:val="00D240D0"/>
    <w:rsid w:val="00D24779"/>
    <w:rsid w:val="00D26872"/>
    <w:rsid w:val="00D3029A"/>
    <w:rsid w:val="00D30435"/>
    <w:rsid w:val="00D3074F"/>
    <w:rsid w:val="00D307B9"/>
    <w:rsid w:val="00D311B1"/>
    <w:rsid w:val="00D31A90"/>
    <w:rsid w:val="00D31B8B"/>
    <w:rsid w:val="00D31C0F"/>
    <w:rsid w:val="00D32613"/>
    <w:rsid w:val="00D32A77"/>
    <w:rsid w:val="00D3514E"/>
    <w:rsid w:val="00D358A8"/>
    <w:rsid w:val="00D35AE1"/>
    <w:rsid w:val="00D37ACB"/>
    <w:rsid w:val="00D409E7"/>
    <w:rsid w:val="00D411C3"/>
    <w:rsid w:val="00D42218"/>
    <w:rsid w:val="00D42ED2"/>
    <w:rsid w:val="00D43153"/>
    <w:rsid w:val="00D441FD"/>
    <w:rsid w:val="00D444FA"/>
    <w:rsid w:val="00D45542"/>
    <w:rsid w:val="00D45586"/>
    <w:rsid w:val="00D45981"/>
    <w:rsid w:val="00D45BB8"/>
    <w:rsid w:val="00D46753"/>
    <w:rsid w:val="00D46923"/>
    <w:rsid w:val="00D46F3B"/>
    <w:rsid w:val="00D4794C"/>
    <w:rsid w:val="00D47A71"/>
    <w:rsid w:val="00D47D41"/>
    <w:rsid w:val="00D50773"/>
    <w:rsid w:val="00D50ECF"/>
    <w:rsid w:val="00D519B5"/>
    <w:rsid w:val="00D52A1E"/>
    <w:rsid w:val="00D52BD6"/>
    <w:rsid w:val="00D52CD7"/>
    <w:rsid w:val="00D5399D"/>
    <w:rsid w:val="00D53FB9"/>
    <w:rsid w:val="00D5464F"/>
    <w:rsid w:val="00D54C12"/>
    <w:rsid w:val="00D555C1"/>
    <w:rsid w:val="00D57A4C"/>
    <w:rsid w:val="00D57BC1"/>
    <w:rsid w:val="00D57D76"/>
    <w:rsid w:val="00D60381"/>
    <w:rsid w:val="00D6056E"/>
    <w:rsid w:val="00D619BA"/>
    <w:rsid w:val="00D622BF"/>
    <w:rsid w:val="00D623F9"/>
    <w:rsid w:val="00D6289B"/>
    <w:rsid w:val="00D63163"/>
    <w:rsid w:val="00D6438E"/>
    <w:rsid w:val="00D6453A"/>
    <w:rsid w:val="00D65283"/>
    <w:rsid w:val="00D65D03"/>
    <w:rsid w:val="00D66873"/>
    <w:rsid w:val="00D66AD5"/>
    <w:rsid w:val="00D6736E"/>
    <w:rsid w:val="00D6741D"/>
    <w:rsid w:val="00D67BB5"/>
    <w:rsid w:val="00D713AA"/>
    <w:rsid w:val="00D71F6A"/>
    <w:rsid w:val="00D7213D"/>
    <w:rsid w:val="00D726F5"/>
    <w:rsid w:val="00D73C18"/>
    <w:rsid w:val="00D73F07"/>
    <w:rsid w:val="00D73FF0"/>
    <w:rsid w:val="00D74D2F"/>
    <w:rsid w:val="00D76588"/>
    <w:rsid w:val="00D766A0"/>
    <w:rsid w:val="00D774A8"/>
    <w:rsid w:val="00D778DF"/>
    <w:rsid w:val="00D80111"/>
    <w:rsid w:val="00D803AE"/>
    <w:rsid w:val="00D80CEC"/>
    <w:rsid w:val="00D817E2"/>
    <w:rsid w:val="00D81A7D"/>
    <w:rsid w:val="00D82ED6"/>
    <w:rsid w:val="00D82FC5"/>
    <w:rsid w:val="00D84AE5"/>
    <w:rsid w:val="00D85152"/>
    <w:rsid w:val="00D859B7"/>
    <w:rsid w:val="00D92792"/>
    <w:rsid w:val="00D931D2"/>
    <w:rsid w:val="00D93724"/>
    <w:rsid w:val="00D9374F"/>
    <w:rsid w:val="00D93918"/>
    <w:rsid w:val="00D946B2"/>
    <w:rsid w:val="00D94D78"/>
    <w:rsid w:val="00D969B9"/>
    <w:rsid w:val="00D96DAB"/>
    <w:rsid w:val="00D97105"/>
    <w:rsid w:val="00D97DD4"/>
    <w:rsid w:val="00DA0F74"/>
    <w:rsid w:val="00DA32C1"/>
    <w:rsid w:val="00DA3D64"/>
    <w:rsid w:val="00DA4262"/>
    <w:rsid w:val="00DA45F8"/>
    <w:rsid w:val="00DA4738"/>
    <w:rsid w:val="00DA4C63"/>
    <w:rsid w:val="00DA5434"/>
    <w:rsid w:val="00DA5789"/>
    <w:rsid w:val="00DA5CEB"/>
    <w:rsid w:val="00DA5E2C"/>
    <w:rsid w:val="00DA6297"/>
    <w:rsid w:val="00DA62D3"/>
    <w:rsid w:val="00DA6D3B"/>
    <w:rsid w:val="00DA7185"/>
    <w:rsid w:val="00DA76BD"/>
    <w:rsid w:val="00DA79A2"/>
    <w:rsid w:val="00DA7B44"/>
    <w:rsid w:val="00DB017A"/>
    <w:rsid w:val="00DB071E"/>
    <w:rsid w:val="00DB0F6E"/>
    <w:rsid w:val="00DB182A"/>
    <w:rsid w:val="00DB2335"/>
    <w:rsid w:val="00DB2E44"/>
    <w:rsid w:val="00DB332D"/>
    <w:rsid w:val="00DB3C5B"/>
    <w:rsid w:val="00DB47C6"/>
    <w:rsid w:val="00DB5608"/>
    <w:rsid w:val="00DB5A26"/>
    <w:rsid w:val="00DB6037"/>
    <w:rsid w:val="00DC07AA"/>
    <w:rsid w:val="00DC1FF9"/>
    <w:rsid w:val="00DC2B7F"/>
    <w:rsid w:val="00DC36C3"/>
    <w:rsid w:val="00DC3CF5"/>
    <w:rsid w:val="00DC4589"/>
    <w:rsid w:val="00DC45A2"/>
    <w:rsid w:val="00DC56C3"/>
    <w:rsid w:val="00DC5718"/>
    <w:rsid w:val="00DC6670"/>
    <w:rsid w:val="00DC7816"/>
    <w:rsid w:val="00DD0AC0"/>
    <w:rsid w:val="00DD1550"/>
    <w:rsid w:val="00DD177A"/>
    <w:rsid w:val="00DD203E"/>
    <w:rsid w:val="00DD2625"/>
    <w:rsid w:val="00DD2A1A"/>
    <w:rsid w:val="00DD2A6F"/>
    <w:rsid w:val="00DD3291"/>
    <w:rsid w:val="00DD3D22"/>
    <w:rsid w:val="00DD48E0"/>
    <w:rsid w:val="00DD60B5"/>
    <w:rsid w:val="00DD649D"/>
    <w:rsid w:val="00DD6806"/>
    <w:rsid w:val="00DD75E7"/>
    <w:rsid w:val="00DE091A"/>
    <w:rsid w:val="00DE0A71"/>
    <w:rsid w:val="00DE0BDE"/>
    <w:rsid w:val="00DE163F"/>
    <w:rsid w:val="00DE281B"/>
    <w:rsid w:val="00DE35BC"/>
    <w:rsid w:val="00DE370B"/>
    <w:rsid w:val="00DE3E05"/>
    <w:rsid w:val="00DE4799"/>
    <w:rsid w:val="00DE57EE"/>
    <w:rsid w:val="00DE5EC8"/>
    <w:rsid w:val="00DE5F4D"/>
    <w:rsid w:val="00DE65B2"/>
    <w:rsid w:val="00DE6FFD"/>
    <w:rsid w:val="00DE705F"/>
    <w:rsid w:val="00DE72D9"/>
    <w:rsid w:val="00DE7510"/>
    <w:rsid w:val="00DE780A"/>
    <w:rsid w:val="00DF1A95"/>
    <w:rsid w:val="00DF2100"/>
    <w:rsid w:val="00DF54F6"/>
    <w:rsid w:val="00DF62B1"/>
    <w:rsid w:val="00DF6CD8"/>
    <w:rsid w:val="00DF703C"/>
    <w:rsid w:val="00DF718D"/>
    <w:rsid w:val="00DF7331"/>
    <w:rsid w:val="00DF7BD2"/>
    <w:rsid w:val="00E00255"/>
    <w:rsid w:val="00E01437"/>
    <w:rsid w:val="00E028A3"/>
    <w:rsid w:val="00E02CC1"/>
    <w:rsid w:val="00E03715"/>
    <w:rsid w:val="00E03D9E"/>
    <w:rsid w:val="00E05985"/>
    <w:rsid w:val="00E06D08"/>
    <w:rsid w:val="00E10B73"/>
    <w:rsid w:val="00E11908"/>
    <w:rsid w:val="00E11D7C"/>
    <w:rsid w:val="00E126CF"/>
    <w:rsid w:val="00E1334D"/>
    <w:rsid w:val="00E1366C"/>
    <w:rsid w:val="00E136A7"/>
    <w:rsid w:val="00E13AA7"/>
    <w:rsid w:val="00E13DC2"/>
    <w:rsid w:val="00E15C5E"/>
    <w:rsid w:val="00E15C70"/>
    <w:rsid w:val="00E16912"/>
    <w:rsid w:val="00E16EB8"/>
    <w:rsid w:val="00E17084"/>
    <w:rsid w:val="00E176F8"/>
    <w:rsid w:val="00E203B3"/>
    <w:rsid w:val="00E20769"/>
    <w:rsid w:val="00E20C82"/>
    <w:rsid w:val="00E20EA1"/>
    <w:rsid w:val="00E213B5"/>
    <w:rsid w:val="00E217B4"/>
    <w:rsid w:val="00E21A66"/>
    <w:rsid w:val="00E22414"/>
    <w:rsid w:val="00E23967"/>
    <w:rsid w:val="00E23AF5"/>
    <w:rsid w:val="00E25D4F"/>
    <w:rsid w:val="00E25E0F"/>
    <w:rsid w:val="00E3089E"/>
    <w:rsid w:val="00E308F1"/>
    <w:rsid w:val="00E30E9D"/>
    <w:rsid w:val="00E3122B"/>
    <w:rsid w:val="00E31708"/>
    <w:rsid w:val="00E31904"/>
    <w:rsid w:val="00E31A0C"/>
    <w:rsid w:val="00E31D9D"/>
    <w:rsid w:val="00E31F26"/>
    <w:rsid w:val="00E32362"/>
    <w:rsid w:val="00E32D4B"/>
    <w:rsid w:val="00E33644"/>
    <w:rsid w:val="00E35039"/>
    <w:rsid w:val="00E35376"/>
    <w:rsid w:val="00E355EE"/>
    <w:rsid w:val="00E3657C"/>
    <w:rsid w:val="00E36755"/>
    <w:rsid w:val="00E36EFC"/>
    <w:rsid w:val="00E36F5C"/>
    <w:rsid w:val="00E370B2"/>
    <w:rsid w:val="00E3717F"/>
    <w:rsid w:val="00E407B1"/>
    <w:rsid w:val="00E40B94"/>
    <w:rsid w:val="00E4115F"/>
    <w:rsid w:val="00E412E0"/>
    <w:rsid w:val="00E41ABE"/>
    <w:rsid w:val="00E41E02"/>
    <w:rsid w:val="00E42B10"/>
    <w:rsid w:val="00E42E36"/>
    <w:rsid w:val="00E4491C"/>
    <w:rsid w:val="00E46FE6"/>
    <w:rsid w:val="00E475C7"/>
    <w:rsid w:val="00E50177"/>
    <w:rsid w:val="00E50838"/>
    <w:rsid w:val="00E50B01"/>
    <w:rsid w:val="00E522FD"/>
    <w:rsid w:val="00E5296C"/>
    <w:rsid w:val="00E52A30"/>
    <w:rsid w:val="00E52FDD"/>
    <w:rsid w:val="00E5334E"/>
    <w:rsid w:val="00E53412"/>
    <w:rsid w:val="00E53BE8"/>
    <w:rsid w:val="00E54B4B"/>
    <w:rsid w:val="00E54BA3"/>
    <w:rsid w:val="00E560A6"/>
    <w:rsid w:val="00E56192"/>
    <w:rsid w:val="00E565AD"/>
    <w:rsid w:val="00E56DBC"/>
    <w:rsid w:val="00E60466"/>
    <w:rsid w:val="00E6062C"/>
    <w:rsid w:val="00E60D53"/>
    <w:rsid w:val="00E61BF4"/>
    <w:rsid w:val="00E61DD3"/>
    <w:rsid w:val="00E622D6"/>
    <w:rsid w:val="00E62400"/>
    <w:rsid w:val="00E62553"/>
    <w:rsid w:val="00E64EF8"/>
    <w:rsid w:val="00E6521A"/>
    <w:rsid w:val="00E653DF"/>
    <w:rsid w:val="00E657C6"/>
    <w:rsid w:val="00E665CE"/>
    <w:rsid w:val="00E666DB"/>
    <w:rsid w:val="00E70130"/>
    <w:rsid w:val="00E7067C"/>
    <w:rsid w:val="00E70998"/>
    <w:rsid w:val="00E71C3B"/>
    <w:rsid w:val="00E72379"/>
    <w:rsid w:val="00E72390"/>
    <w:rsid w:val="00E725D6"/>
    <w:rsid w:val="00E72B28"/>
    <w:rsid w:val="00E7300B"/>
    <w:rsid w:val="00E734C9"/>
    <w:rsid w:val="00E73C48"/>
    <w:rsid w:val="00E73D0C"/>
    <w:rsid w:val="00E73DFF"/>
    <w:rsid w:val="00E748AE"/>
    <w:rsid w:val="00E74AA9"/>
    <w:rsid w:val="00E776AD"/>
    <w:rsid w:val="00E804BD"/>
    <w:rsid w:val="00E8142B"/>
    <w:rsid w:val="00E81A55"/>
    <w:rsid w:val="00E81CA6"/>
    <w:rsid w:val="00E82333"/>
    <w:rsid w:val="00E823A6"/>
    <w:rsid w:val="00E82E01"/>
    <w:rsid w:val="00E8363D"/>
    <w:rsid w:val="00E837C1"/>
    <w:rsid w:val="00E846F1"/>
    <w:rsid w:val="00E85C2B"/>
    <w:rsid w:val="00E868AF"/>
    <w:rsid w:val="00E87101"/>
    <w:rsid w:val="00E87657"/>
    <w:rsid w:val="00E91550"/>
    <w:rsid w:val="00E923EC"/>
    <w:rsid w:val="00E93556"/>
    <w:rsid w:val="00E942C1"/>
    <w:rsid w:val="00E94AFE"/>
    <w:rsid w:val="00E94F51"/>
    <w:rsid w:val="00E9587A"/>
    <w:rsid w:val="00EA13BF"/>
    <w:rsid w:val="00EA181B"/>
    <w:rsid w:val="00EA1858"/>
    <w:rsid w:val="00EA270B"/>
    <w:rsid w:val="00EA29ED"/>
    <w:rsid w:val="00EA344E"/>
    <w:rsid w:val="00EA3BAB"/>
    <w:rsid w:val="00EA43A4"/>
    <w:rsid w:val="00EA583A"/>
    <w:rsid w:val="00EA5E40"/>
    <w:rsid w:val="00EA76BF"/>
    <w:rsid w:val="00EA7D9C"/>
    <w:rsid w:val="00EB0334"/>
    <w:rsid w:val="00EB07F4"/>
    <w:rsid w:val="00EB1C11"/>
    <w:rsid w:val="00EB3A99"/>
    <w:rsid w:val="00EB3B41"/>
    <w:rsid w:val="00EB4DDF"/>
    <w:rsid w:val="00EB5033"/>
    <w:rsid w:val="00EB5B70"/>
    <w:rsid w:val="00EB65DD"/>
    <w:rsid w:val="00EB6D31"/>
    <w:rsid w:val="00EC02FD"/>
    <w:rsid w:val="00EC03C6"/>
    <w:rsid w:val="00EC0E08"/>
    <w:rsid w:val="00EC28A4"/>
    <w:rsid w:val="00EC38D8"/>
    <w:rsid w:val="00EC4450"/>
    <w:rsid w:val="00EC4C42"/>
    <w:rsid w:val="00EC4DF1"/>
    <w:rsid w:val="00EC5AFE"/>
    <w:rsid w:val="00EC5C3F"/>
    <w:rsid w:val="00EC6381"/>
    <w:rsid w:val="00EC7D2A"/>
    <w:rsid w:val="00ED0106"/>
    <w:rsid w:val="00ED0845"/>
    <w:rsid w:val="00ED0DF9"/>
    <w:rsid w:val="00ED2DCE"/>
    <w:rsid w:val="00ED3DAF"/>
    <w:rsid w:val="00ED4128"/>
    <w:rsid w:val="00ED63AD"/>
    <w:rsid w:val="00ED654E"/>
    <w:rsid w:val="00ED6C6C"/>
    <w:rsid w:val="00EE0682"/>
    <w:rsid w:val="00EE0EBD"/>
    <w:rsid w:val="00EE10A8"/>
    <w:rsid w:val="00EE1296"/>
    <w:rsid w:val="00EE2842"/>
    <w:rsid w:val="00EE3666"/>
    <w:rsid w:val="00EE464B"/>
    <w:rsid w:val="00EE5E4D"/>
    <w:rsid w:val="00EE6950"/>
    <w:rsid w:val="00EE72D1"/>
    <w:rsid w:val="00EE7A5F"/>
    <w:rsid w:val="00EF0829"/>
    <w:rsid w:val="00EF13FB"/>
    <w:rsid w:val="00EF1D06"/>
    <w:rsid w:val="00EF30A9"/>
    <w:rsid w:val="00EF42D6"/>
    <w:rsid w:val="00EF42F4"/>
    <w:rsid w:val="00EF4CFE"/>
    <w:rsid w:val="00EF505B"/>
    <w:rsid w:val="00EF53DB"/>
    <w:rsid w:val="00EF571C"/>
    <w:rsid w:val="00EF65EE"/>
    <w:rsid w:val="00EF688C"/>
    <w:rsid w:val="00EF78B5"/>
    <w:rsid w:val="00EF78EA"/>
    <w:rsid w:val="00EF7A32"/>
    <w:rsid w:val="00F00458"/>
    <w:rsid w:val="00F01AF5"/>
    <w:rsid w:val="00F0333A"/>
    <w:rsid w:val="00F03862"/>
    <w:rsid w:val="00F03C15"/>
    <w:rsid w:val="00F0467F"/>
    <w:rsid w:val="00F05480"/>
    <w:rsid w:val="00F0621D"/>
    <w:rsid w:val="00F0648A"/>
    <w:rsid w:val="00F107B3"/>
    <w:rsid w:val="00F1107A"/>
    <w:rsid w:val="00F11A83"/>
    <w:rsid w:val="00F1242D"/>
    <w:rsid w:val="00F124F8"/>
    <w:rsid w:val="00F12947"/>
    <w:rsid w:val="00F12E87"/>
    <w:rsid w:val="00F1404D"/>
    <w:rsid w:val="00F14993"/>
    <w:rsid w:val="00F15327"/>
    <w:rsid w:val="00F154A1"/>
    <w:rsid w:val="00F16576"/>
    <w:rsid w:val="00F1670E"/>
    <w:rsid w:val="00F20404"/>
    <w:rsid w:val="00F2077B"/>
    <w:rsid w:val="00F20DA0"/>
    <w:rsid w:val="00F21359"/>
    <w:rsid w:val="00F2162B"/>
    <w:rsid w:val="00F222AE"/>
    <w:rsid w:val="00F236EA"/>
    <w:rsid w:val="00F23BBE"/>
    <w:rsid w:val="00F241B3"/>
    <w:rsid w:val="00F2452E"/>
    <w:rsid w:val="00F2469F"/>
    <w:rsid w:val="00F24700"/>
    <w:rsid w:val="00F25563"/>
    <w:rsid w:val="00F25651"/>
    <w:rsid w:val="00F26433"/>
    <w:rsid w:val="00F26AF2"/>
    <w:rsid w:val="00F27987"/>
    <w:rsid w:val="00F30467"/>
    <w:rsid w:val="00F307B0"/>
    <w:rsid w:val="00F30E71"/>
    <w:rsid w:val="00F315D5"/>
    <w:rsid w:val="00F3278A"/>
    <w:rsid w:val="00F32BD7"/>
    <w:rsid w:val="00F3345F"/>
    <w:rsid w:val="00F33990"/>
    <w:rsid w:val="00F34F88"/>
    <w:rsid w:val="00F3536A"/>
    <w:rsid w:val="00F35616"/>
    <w:rsid w:val="00F36431"/>
    <w:rsid w:val="00F366D2"/>
    <w:rsid w:val="00F401BC"/>
    <w:rsid w:val="00F40777"/>
    <w:rsid w:val="00F40F7B"/>
    <w:rsid w:val="00F41EE6"/>
    <w:rsid w:val="00F42C24"/>
    <w:rsid w:val="00F42D10"/>
    <w:rsid w:val="00F42E65"/>
    <w:rsid w:val="00F43777"/>
    <w:rsid w:val="00F43D8B"/>
    <w:rsid w:val="00F4513B"/>
    <w:rsid w:val="00F461B1"/>
    <w:rsid w:val="00F46A6C"/>
    <w:rsid w:val="00F4711F"/>
    <w:rsid w:val="00F47CE1"/>
    <w:rsid w:val="00F501D5"/>
    <w:rsid w:val="00F501E2"/>
    <w:rsid w:val="00F50C0D"/>
    <w:rsid w:val="00F50CFF"/>
    <w:rsid w:val="00F532E7"/>
    <w:rsid w:val="00F53675"/>
    <w:rsid w:val="00F53FB6"/>
    <w:rsid w:val="00F53FE9"/>
    <w:rsid w:val="00F545BC"/>
    <w:rsid w:val="00F54821"/>
    <w:rsid w:val="00F55BFA"/>
    <w:rsid w:val="00F55C60"/>
    <w:rsid w:val="00F575E1"/>
    <w:rsid w:val="00F6086B"/>
    <w:rsid w:val="00F60903"/>
    <w:rsid w:val="00F61AFA"/>
    <w:rsid w:val="00F62331"/>
    <w:rsid w:val="00F6238B"/>
    <w:rsid w:val="00F62701"/>
    <w:rsid w:val="00F6314D"/>
    <w:rsid w:val="00F63B34"/>
    <w:rsid w:val="00F63F8A"/>
    <w:rsid w:val="00F64750"/>
    <w:rsid w:val="00F65544"/>
    <w:rsid w:val="00F670C2"/>
    <w:rsid w:val="00F67162"/>
    <w:rsid w:val="00F6770D"/>
    <w:rsid w:val="00F677D7"/>
    <w:rsid w:val="00F67C25"/>
    <w:rsid w:val="00F70771"/>
    <w:rsid w:val="00F70FB1"/>
    <w:rsid w:val="00F710AD"/>
    <w:rsid w:val="00F72311"/>
    <w:rsid w:val="00F73780"/>
    <w:rsid w:val="00F74470"/>
    <w:rsid w:val="00F74657"/>
    <w:rsid w:val="00F7471D"/>
    <w:rsid w:val="00F7593C"/>
    <w:rsid w:val="00F759B0"/>
    <w:rsid w:val="00F759CD"/>
    <w:rsid w:val="00F76491"/>
    <w:rsid w:val="00F776B5"/>
    <w:rsid w:val="00F777ED"/>
    <w:rsid w:val="00F7799B"/>
    <w:rsid w:val="00F77E9D"/>
    <w:rsid w:val="00F8039F"/>
    <w:rsid w:val="00F80AC7"/>
    <w:rsid w:val="00F82623"/>
    <w:rsid w:val="00F830E9"/>
    <w:rsid w:val="00F83830"/>
    <w:rsid w:val="00F83B22"/>
    <w:rsid w:val="00F842AE"/>
    <w:rsid w:val="00F84D9D"/>
    <w:rsid w:val="00F84FE1"/>
    <w:rsid w:val="00F85D53"/>
    <w:rsid w:val="00F85D8C"/>
    <w:rsid w:val="00F86135"/>
    <w:rsid w:val="00F8793C"/>
    <w:rsid w:val="00F87B72"/>
    <w:rsid w:val="00F9030F"/>
    <w:rsid w:val="00F90730"/>
    <w:rsid w:val="00F91A43"/>
    <w:rsid w:val="00F91F49"/>
    <w:rsid w:val="00F92760"/>
    <w:rsid w:val="00F92E02"/>
    <w:rsid w:val="00F93B01"/>
    <w:rsid w:val="00F93C4A"/>
    <w:rsid w:val="00F93E28"/>
    <w:rsid w:val="00F941E7"/>
    <w:rsid w:val="00F94B75"/>
    <w:rsid w:val="00F95B7B"/>
    <w:rsid w:val="00F96307"/>
    <w:rsid w:val="00F969D7"/>
    <w:rsid w:val="00F978DD"/>
    <w:rsid w:val="00FA181B"/>
    <w:rsid w:val="00FA19AA"/>
    <w:rsid w:val="00FA19F9"/>
    <w:rsid w:val="00FA1EFA"/>
    <w:rsid w:val="00FA274E"/>
    <w:rsid w:val="00FA2B8B"/>
    <w:rsid w:val="00FA2E85"/>
    <w:rsid w:val="00FA3A25"/>
    <w:rsid w:val="00FA50B6"/>
    <w:rsid w:val="00FA6208"/>
    <w:rsid w:val="00FA736F"/>
    <w:rsid w:val="00FA7B18"/>
    <w:rsid w:val="00FA7C9E"/>
    <w:rsid w:val="00FB0356"/>
    <w:rsid w:val="00FB21DB"/>
    <w:rsid w:val="00FB226B"/>
    <w:rsid w:val="00FB2C98"/>
    <w:rsid w:val="00FB3905"/>
    <w:rsid w:val="00FB4674"/>
    <w:rsid w:val="00FB5595"/>
    <w:rsid w:val="00FB63D5"/>
    <w:rsid w:val="00FC0DB4"/>
    <w:rsid w:val="00FC13E3"/>
    <w:rsid w:val="00FC1963"/>
    <w:rsid w:val="00FC2733"/>
    <w:rsid w:val="00FC2B79"/>
    <w:rsid w:val="00FC3456"/>
    <w:rsid w:val="00FC413A"/>
    <w:rsid w:val="00FC50C5"/>
    <w:rsid w:val="00FC5242"/>
    <w:rsid w:val="00FC62B7"/>
    <w:rsid w:val="00FC65C6"/>
    <w:rsid w:val="00FC68DD"/>
    <w:rsid w:val="00FC6CC2"/>
    <w:rsid w:val="00FD00EC"/>
    <w:rsid w:val="00FD01FD"/>
    <w:rsid w:val="00FD029A"/>
    <w:rsid w:val="00FD02CD"/>
    <w:rsid w:val="00FD0C7D"/>
    <w:rsid w:val="00FD184F"/>
    <w:rsid w:val="00FD1F9C"/>
    <w:rsid w:val="00FD38DA"/>
    <w:rsid w:val="00FD4E84"/>
    <w:rsid w:val="00FD502A"/>
    <w:rsid w:val="00FD57BD"/>
    <w:rsid w:val="00FD6261"/>
    <w:rsid w:val="00FD6363"/>
    <w:rsid w:val="00FD6BD6"/>
    <w:rsid w:val="00FE00EA"/>
    <w:rsid w:val="00FE1793"/>
    <w:rsid w:val="00FE1803"/>
    <w:rsid w:val="00FE1896"/>
    <w:rsid w:val="00FE1A91"/>
    <w:rsid w:val="00FE1B59"/>
    <w:rsid w:val="00FE273C"/>
    <w:rsid w:val="00FE2E18"/>
    <w:rsid w:val="00FE2F5D"/>
    <w:rsid w:val="00FE307D"/>
    <w:rsid w:val="00FE3DBB"/>
    <w:rsid w:val="00FE42BE"/>
    <w:rsid w:val="00FE45E3"/>
    <w:rsid w:val="00FE45F0"/>
    <w:rsid w:val="00FE526D"/>
    <w:rsid w:val="00FE5BEE"/>
    <w:rsid w:val="00FE6486"/>
    <w:rsid w:val="00FE65A0"/>
    <w:rsid w:val="00FE67B5"/>
    <w:rsid w:val="00FE69CC"/>
    <w:rsid w:val="00FE6B98"/>
    <w:rsid w:val="00FE7242"/>
    <w:rsid w:val="00FE73C1"/>
    <w:rsid w:val="00FE7F70"/>
    <w:rsid w:val="00FF079E"/>
    <w:rsid w:val="00FF0A14"/>
    <w:rsid w:val="00FF11E4"/>
    <w:rsid w:val="00FF12D4"/>
    <w:rsid w:val="00FF17D1"/>
    <w:rsid w:val="00FF1C2B"/>
    <w:rsid w:val="00FF4137"/>
    <w:rsid w:val="00FF41E7"/>
    <w:rsid w:val="00FF42DF"/>
    <w:rsid w:val="00FF49B6"/>
    <w:rsid w:val="00FF6723"/>
    <w:rsid w:val="00FF7710"/>
    <w:rsid w:val="04803ADE"/>
    <w:rsid w:val="150E4A94"/>
    <w:rsid w:val="28066FA2"/>
    <w:rsid w:val="366F7B2A"/>
    <w:rsid w:val="4BA74F6B"/>
    <w:rsid w:val="516C059C"/>
    <w:rsid w:val="60F953F0"/>
    <w:rsid w:val="667D6275"/>
    <w:rsid w:val="6E0D11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qFormat="1" w:unhideWhenUsed="0" w:uiPriority="0" w:semiHidden="0"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iPriority="99"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2"/>
    <w:qFormat/>
    <w:uiPriority w:val="9"/>
    <w:pPr>
      <w:keepNext/>
      <w:keepLines/>
      <w:spacing w:before="260" w:after="260" w:line="416" w:lineRule="auto"/>
      <w:ind w:left="240" w:hanging="240"/>
      <w:outlineLvl w:val="1"/>
    </w:pPr>
    <w:rPr>
      <w:rFonts w:ascii="Arial" w:hAnsi="Arial" w:eastAsia="黑体"/>
      <w:b/>
      <w:bCs/>
      <w:sz w:val="32"/>
      <w:szCs w:val="32"/>
    </w:rPr>
  </w:style>
  <w:style w:type="paragraph" w:styleId="4">
    <w:name w:val="heading 3"/>
    <w:basedOn w:val="1"/>
    <w:next w:val="1"/>
    <w:link w:val="70"/>
    <w:qFormat/>
    <w:uiPriority w:val="9"/>
    <w:pPr>
      <w:widowControl/>
      <w:spacing w:before="120" w:line="360" w:lineRule="auto"/>
      <w:ind w:left="421" w:hanging="308"/>
      <w:outlineLvl w:val="2"/>
    </w:pPr>
    <w:rPr>
      <w:rFonts w:eastAsia="仿宋_GB2312"/>
      <w:b/>
      <w:bCs/>
      <w:sz w:val="28"/>
      <w:szCs w:val="24"/>
    </w:rPr>
  </w:style>
  <w:style w:type="paragraph" w:styleId="5">
    <w:name w:val="heading 4"/>
    <w:basedOn w:val="1"/>
    <w:next w:val="1"/>
    <w:link w:val="142"/>
    <w:qFormat/>
    <w:uiPriority w:val="9"/>
    <w:pPr>
      <w:keepLines/>
      <w:widowControl/>
      <w:spacing w:line="360" w:lineRule="auto"/>
      <w:jc w:val="left"/>
      <w:outlineLvl w:val="3"/>
    </w:pPr>
    <w:rPr>
      <w:rFonts w:ascii="Arial" w:hAnsi="Arial"/>
      <w:b/>
      <w:bCs/>
      <w:sz w:val="24"/>
      <w:szCs w:val="28"/>
    </w:rPr>
  </w:style>
  <w:style w:type="paragraph" w:styleId="6">
    <w:name w:val="heading 5"/>
    <w:basedOn w:val="1"/>
    <w:next w:val="7"/>
    <w:link w:val="72"/>
    <w:qFormat/>
    <w:uiPriority w:val="9"/>
    <w:pPr>
      <w:widowControl/>
      <w:snapToGrid w:val="0"/>
      <w:ind w:left="704" w:hanging="137"/>
      <w:outlineLvl w:val="4"/>
    </w:pPr>
    <w:rPr>
      <w:rFonts w:ascii="宋体"/>
      <w:bCs/>
      <w:sz w:val="24"/>
      <w:szCs w:val="24"/>
    </w:rPr>
  </w:style>
  <w:style w:type="paragraph" w:styleId="10">
    <w:name w:val="heading 6"/>
    <w:basedOn w:val="1"/>
    <w:next w:val="1"/>
    <w:link w:val="73"/>
    <w:qFormat/>
    <w:uiPriority w:val="9"/>
    <w:pPr>
      <w:widowControl/>
      <w:adjustRightInd w:val="0"/>
      <w:spacing w:beforeLines="50" w:after="156"/>
      <w:ind w:left="846" w:hanging="166"/>
      <w:textAlignment w:val="baseline"/>
      <w:outlineLvl w:val="5"/>
    </w:pPr>
    <w:rPr>
      <w:rFonts w:ascii="Arial" w:hAnsi="Arial"/>
      <w:bCs/>
      <w:kern w:val="0"/>
      <w:sz w:val="24"/>
      <w:szCs w:val="24"/>
    </w:rPr>
  </w:style>
  <w:style w:type="paragraph" w:styleId="11">
    <w:name w:val="heading 7"/>
    <w:basedOn w:val="1"/>
    <w:next w:val="1"/>
    <w:link w:val="74"/>
    <w:qFormat/>
    <w:uiPriority w:val="9"/>
    <w:pPr>
      <w:keepNext/>
      <w:keepLines/>
      <w:tabs>
        <w:tab w:val="left" w:pos="1296"/>
      </w:tabs>
      <w:adjustRightInd w:val="0"/>
      <w:spacing w:before="240" w:after="64" w:line="320" w:lineRule="atLeast"/>
      <w:ind w:left="1296" w:hanging="1296"/>
      <w:jc w:val="left"/>
      <w:textAlignment w:val="baseline"/>
      <w:outlineLvl w:val="6"/>
    </w:pPr>
    <w:rPr>
      <w:b/>
      <w:bCs/>
      <w:kern w:val="0"/>
      <w:sz w:val="24"/>
      <w:szCs w:val="24"/>
    </w:rPr>
  </w:style>
  <w:style w:type="paragraph" w:styleId="12">
    <w:name w:val="heading 8"/>
    <w:basedOn w:val="1"/>
    <w:next w:val="1"/>
    <w:link w:val="75"/>
    <w:qFormat/>
    <w:uiPriority w:val="9"/>
    <w:pPr>
      <w:keepNext/>
      <w:keepLines/>
      <w:tabs>
        <w:tab w:val="left" w:pos="1440"/>
      </w:tabs>
      <w:adjustRightInd w:val="0"/>
      <w:spacing w:before="240" w:after="64" w:line="320" w:lineRule="atLeast"/>
      <w:ind w:left="1440" w:hanging="1440"/>
      <w:jc w:val="left"/>
      <w:textAlignment w:val="baseline"/>
      <w:outlineLvl w:val="7"/>
    </w:pPr>
    <w:rPr>
      <w:rFonts w:ascii="Arial" w:hAnsi="Arial" w:eastAsia="黑体" w:cs="Arial"/>
      <w:kern w:val="0"/>
      <w:sz w:val="24"/>
      <w:szCs w:val="24"/>
    </w:rPr>
  </w:style>
  <w:style w:type="paragraph" w:styleId="13">
    <w:name w:val="heading 9"/>
    <w:basedOn w:val="1"/>
    <w:next w:val="1"/>
    <w:link w:val="76"/>
    <w:qFormat/>
    <w:uiPriority w:val="9"/>
    <w:pPr>
      <w:keepNext/>
      <w:keepLines/>
      <w:tabs>
        <w:tab w:val="left" w:pos="1584"/>
      </w:tabs>
      <w:adjustRightInd w:val="0"/>
      <w:spacing w:before="240" w:after="64" w:line="320" w:lineRule="atLeast"/>
      <w:ind w:left="1584" w:hanging="1584"/>
      <w:jc w:val="left"/>
      <w:textAlignment w:val="baseline"/>
      <w:outlineLvl w:val="8"/>
    </w:pPr>
    <w:rPr>
      <w:rFonts w:ascii="Arial" w:hAnsi="Arial" w:eastAsia="黑体" w:cs="Arial"/>
      <w:kern w:val="0"/>
      <w:sz w:val="24"/>
      <w:szCs w:val="24"/>
    </w:rPr>
  </w:style>
  <w:style w:type="character" w:default="1" w:styleId="49">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7">
    <w:name w:val="样式 正文首行缩进 2"/>
    <w:basedOn w:val="8"/>
    <w:link w:val="89"/>
    <w:qFormat/>
    <w:uiPriority w:val="0"/>
    <w:pPr>
      <w:spacing w:after="120" w:line="360" w:lineRule="auto"/>
      <w:ind w:left="0" w:firstLine="480"/>
    </w:pPr>
    <w:rPr>
      <w:rFonts w:ascii="宋体" w:cs="宋体"/>
    </w:rPr>
  </w:style>
  <w:style w:type="paragraph" w:styleId="8">
    <w:name w:val="Body Text First Indent 2"/>
    <w:basedOn w:val="9"/>
    <w:link w:val="79"/>
    <w:qFormat/>
    <w:uiPriority w:val="0"/>
    <w:pPr>
      <w:widowControl/>
      <w:snapToGrid w:val="0"/>
      <w:spacing w:line="500" w:lineRule="exact"/>
      <w:ind w:left="200" w:firstLine="200" w:firstLineChars="200"/>
      <w:jc w:val="left"/>
    </w:pPr>
    <w:rPr>
      <w:szCs w:val="24"/>
    </w:rPr>
  </w:style>
  <w:style w:type="paragraph" w:styleId="9">
    <w:name w:val="Body Text Indent"/>
    <w:basedOn w:val="1"/>
    <w:link w:val="78"/>
    <w:qFormat/>
    <w:uiPriority w:val="0"/>
    <w:pPr>
      <w:spacing w:line="480" w:lineRule="exact"/>
      <w:ind w:firstLine="525"/>
    </w:pPr>
    <w:rPr>
      <w:sz w:val="24"/>
    </w:rPr>
  </w:style>
  <w:style w:type="paragraph" w:styleId="14">
    <w:name w:val="toc 7"/>
    <w:basedOn w:val="1"/>
    <w:next w:val="1"/>
    <w:qFormat/>
    <w:uiPriority w:val="39"/>
    <w:pPr>
      <w:ind w:left="2520" w:leftChars="1200"/>
    </w:pPr>
    <w:rPr>
      <w:szCs w:val="24"/>
    </w:rPr>
  </w:style>
  <w:style w:type="paragraph" w:styleId="15">
    <w:name w:val="Normal Indent"/>
    <w:basedOn w:val="1"/>
    <w:qFormat/>
    <w:uiPriority w:val="0"/>
    <w:pPr>
      <w:ind w:firstLine="420" w:firstLineChars="200"/>
    </w:pPr>
    <w:rPr>
      <w:rFonts w:ascii="Calibri" w:hAnsi="Calibri"/>
      <w:szCs w:val="22"/>
    </w:rPr>
  </w:style>
  <w:style w:type="paragraph" w:styleId="16">
    <w:name w:val="caption"/>
    <w:basedOn w:val="1"/>
    <w:next w:val="1"/>
    <w:qFormat/>
    <w:uiPriority w:val="0"/>
    <w:rPr>
      <w:rFonts w:ascii="Cambria" w:hAnsi="Cambria" w:eastAsia="黑体"/>
      <w:sz w:val="20"/>
    </w:rPr>
  </w:style>
  <w:style w:type="paragraph" w:styleId="17">
    <w:name w:val="Document Map"/>
    <w:basedOn w:val="1"/>
    <w:link w:val="110"/>
    <w:semiHidden/>
    <w:qFormat/>
    <w:uiPriority w:val="99"/>
    <w:pPr>
      <w:shd w:val="clear" w:color="auto" w:fill="000080"/>
      <w:adjustRightInd w:val="0"/>
      <w:spacing w:line="360" w:lineRule="auto"/>
      <w:textAlignment w:val="baseline"/>
    </w:pPr>
    <w:rPr>
      <w:kern w:val="0"/>
      <w:sz w:val="24"/>
      <w:szCs w:val="24"/>
    </w:rPr>
  </w:style>
  <w:style w:type="paragraph" w:styleId="18">
    <w:name w:val="annotation text"/>
    <w:basedOn w:val="1"/>
    <w:link w:val="297"/>
    <w:semiHidden/>
    <w:unhideWhenUsed/>
    <w:qFormat/>
    <w:uiPriority w:val="99"/>
    <w:pPr>
      <w:jc w:val="left"/>
    </w:pPr>
  </w:style>
  <w:style w:type="paragraph" w:styleId="19">
    <w:name w:val="Body Text 3"/>
    <w:basedOn w:val="1"/>
    <w:link w:val="275"/>
    <w:qFormat/>
    <w:uiPriority w:val="0"/>
    <w:pPr>
      <w:widowControl/>
      <w:spacing w:line="360" w:lineRule="auto"/>
      <w:jc w:val="left"/>
    </w:pPr>
    <w:rPr>
      <w:rFonts w:ascii="宋体"/>
      <w:color w:val="000000"/>
      <w:kern w:val="0"/>
      <w:sz w:val="24"/>
      <w:lang w:eastAsia="en-US" w:bidi="en-US"/>
    </w:rPr>
  </w:style>
  <w:style w:type="paragraph" w:styleId="20">
    <w:name w:val="Body Text"/>
    <w:basedOn w:val="1"/>
    <w:link w:val="60"/>
    <w:unhideWhenUsed/>
    <w:qFormat/>
    <w:uiPriority w:val="0"/>
    <w:pPr>
      <w:spacing w:after="120"/>
    </w:pPr>
  </w:style>
  <w:style w:type="paragraph" w:styleId="21">
    <w:name w:val="Block Text"/>
    <w:basedOn w:val="1"/>
    <w:qFormat/>
    <w:uiPriority w:val="0"/>
    <w:pPr>
      <w:spacing w:line="360" w:lineRule="auto"/>
      <w:ind w:left="552" w:right="567" w:firstLine="550"/>
    </w:pPr>
    <w:rPr>
      <w:b/>
      <w:bCs/>
      <w:kern w:val="0"/>
      <w:sz w:val="28"/>
    </w:rPr>
  </w:style>
  <w:style w:type="paragraph" w:styleId="22">
    <w:name w:val="List Bullet 2"/>
    <w:basedOn w:val="1"/>
    <w:qFormat/>
    <w:uiPriority w:val="0"/>
    <w:pPr>
      <w:numPr>
        <w:ilvl w:val="0"/>
        <w:numId w:val="1"/>
      </w:numPr>
    </w:pPr>
    <w:rPr>
      <w:rFonts w:ascii="宋体"/>
      <w:sz w:val="28"/>
      <w:szCs w:val="28"/>
    </w:rPr>
  </w:style>
  <w:style w:type="paragraph" w:styleId="23">
    <w:name w:val="toc 5"/>
    <w:basedOn w:val="1"/>
    <w:next w:val="1"/>
    <w:qFormat/>
    <w:uiPriority w:val="39"/>
    <w:pPr>
      <w:ind w:left="200" w:leftChars="200" w:firstLine="100" w:firstLineChars="100"/>
    </w:pPr>
    <w:rPr>
      <w:szCs w:val="24"/>
    </w:rPr>
  </w:style>
  <w:style w:type="paragraph" w:styleId="24">
    <w:name w:val="toc 3"/>
    <w:basedOn w:val="1"/>
    <w:next w:val="1"/>
    <w:qFormat/>
    <w:uiPriority w:val="39"/>
    <w:pPr>
      <w:ind w:left="100" w:leftChars="100"/>
    </w:pPr>
    <w:rPr>
      <w:b/>
      <w:szCs w:val="24"/>
    </w:rPr>
  </w:style>
  <w:style w:type="paragraph" w:styleId="25">
    <w:name w:val="Plain Text"/>
    <w:basedOn w:val="1"/>
    <w:link w:val="184"/>
    <w:qFormat/>
    <w:uiPriority w:val="0"/>
    <w:rPr>
      <w:rFonts w:ascii="宋体" w:hAnsi="Courier New" w:cs="Courier New"/>
      <w:szCs w:val="21"/>
    </w:rPr>
  </w:style>
  <w:style w:type="paragraph" w:styleId="26">
    <w:name w:val="toc 8"/>
    <w:basedOn w:val="1"/>
    <w:next w:val="1"/>
    <w:qFormat/>
    <w:uiPriority w:val="39"/>
    <w:pPr>
      <w:ind w:left="2940" w:leftChars="1400"/>
    </w:pPr>
    <w:rPr>
      <w:szCs w:val="24"/>
    </w:rPr>
  </w:style>
  <w:style w:type="paragraph" w:styleId="27">
    <w:name w:val="Date"/>
    <w:basedOn w:val="1"/>
    <w:next w:val="1"/>
    <w:link w:val="55"/>
    <w:unhideWhenUsed/>
    <w:qFormat/>
    <w:uiPriority w:val="99"/>
    <w:pPr>
      <w:ind w:left="100" w:leftChars="2500"/>
    </w:pPr>
  </w:style>
  <w:style w:type="paragraph" w:styleId="28">
    <w:name w:val="Body Text Indent 2"/>
    <w:basedOn w:val="1"/>
    <w:link w:val="183"/>
    <w:qFormat/>
    <w:uiPriority w:val="0"/>
    <w:pPr>
      <w:tabs>
        <w:tab w:val="left" w:pos="5220"/>
      </w:tabs>
      <w:spacing w:line="360" w:lineRule="auto"/>
      <w:ind w:left="223" w:leftChars="106" w:firstLine="497" w:firstLineChars="207"/>
    </w:pPr>
    <w:rPr>
      <w:rFonts w:ascii="仿宋_GB2312" w:hAnsi="宋体" w:eastAsia="仿宋_GB2312"/>
      <w:color w:val="000000"/>
      <w:sz w:val="24"/>
      <w:szCs w:val="24"/>
    </w:rPr>
  </w:style>
  <w:style w:type="paragraph" w:styleId="29">
    <w:name w:val="Balloon Text"/>
    <w:basedOn w:val="1"/>
    <w:link w:val="57"/>
    <w:semiHidden/>
    <w:unhideWhenUsed/>
    <w:qFormat/>
    <w:uiPriority w:val="99"/>
    <w:rPr>
      <w:sz w:val="18"/>
      <w:szCs w:val="18"/>
    </w:rPr>
  </w:style>
  <w:style w:type="paragraph" w:styleId="30">
    <w:name w:val="footer"/>
    <w:basedOn w:val="1"/>
    <w:link w:val="181"/>
    <w:qFormat/>
    <w:uiPriority w:val="0"/>
    <w:pPr>
      <w:tabs>
        <w:tab w:val="center" w:pos="4153"/>
        <w:tab w:val="right" w:pos="8306"/>
      </w:tabs>
      <w:snapToGrid w:val="0"/>
      <w:jc w:val="left"/>
    </w:pPr>
    <w:rPr>
      <w:sz w:val="18"/>
      <w:szCs w:val="18"/>
    </w:rPr>
  </w:style>
  <w:style w:type="paragraph" w:styleId="31">
    <w:name w:val="header"/>
    <w:basedOn w:val="1"/>
    <w:link w:val="182"/>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qFormat/>
    <w:uiPriority w:val="39"/>
    <w:pPr>
      <w:tabs>
        <w:tab w:val="right" w:leader="dot" w:pos="9781"/>
      </w:tabs>
      <w:spacing w:line="360" w:lineRule="auto"/>
      <w:ind w:left="-447" w:leftChars="-213"/>
      <w:jc w:val="right"/>
    </w:pPr>
    <w:rPr>
      <w:rFonts w:eastAsia="黑体"/>
      <w:kern w:val="0"/>
      <w:sz w:val="24"/>
      <w:szCs w:val="24"/>
    </w:rPr>
  </w:style>
  <w:style w:type="paragraph" w:styleId="33">
    <w:name w:val="toc 4"/>
    <w:basedOn w:val="1"/>
    <w:next w:val="1"/>
    <w:qFormat/>
    <w:uiPriority w:val="39"/>
    <w:pPr>
      <w:ind w:left="150" w:leftChars="150"/>
    </w:pPr>
    <w:rPr>
      <w:szCs w:val="24"/>
    </w:rPr>
  </w:style>
  <w:style w:type="paragraph" w:styleId="34">
    <w:name w:val="Subtitle"/>
    <w:basedOn w:val="1"/>
    <w:next w:val="1"/>
    <w:link w:val="278"/>
    <w:qFormat/>
    <w:uiPriority w:val="11"/>
    <w:pPr>
      <w:widowControl/>
      <w:spacing w:after="60"/>
      <w:jc w:val="center"/>
      <w:outlineLvl w:val="1"/>
    </w:pPr>
    <w:rPr>
      <w:rFonts w:ascii="Cambria" w:hAnsi="Cambria"/>
      <w:kern w:val="0"/>
      <w:sz w:val="24"/>
      <w:szCs w:val="24"/>
      <w:lang w:eastAsia="en-US" w:bidi="en-US"/>
    </w:rPr>
  </w:style>
  <w:style w:type="paragraph" w:styleId="35">
    <w:name w:val="List"/>
    <w:basedOn w:val="1"/>
    <w:next w:val="1"/>
    <w:qFormat/>
    <w:uiPriority w:val="0"/>
    <w:pPr>
      <w:keepNext/>
      <w:adjustRightInd w:val="0"/>
      <w:snapToGrid w:val="0"/>
      <w:spacing w:before="240" w:line="276" w:lineRule="auto"/>
      <w:jc w:val="center"/>
      <w:textAlignment w:val="baseline"/>
    </w:pPr>
    <w:rPr>
      <w:kern w:val="0"/>
      <w:szCs w:val="21"/>
    </w:rPr>
  </w:style>
  <w:style w:type="paragraph" w:styleId="36">
    <w:name w:val="toc 6"/>
    <w:basedOn w:val="1"/>
    <w:next w:val="1"/>
    <w:qFormat/>
    <w:uiPriority w:val="39"/>
    <w:pPr>
      <w:ind w:left="2100" w:leftChars="1000"/>
    </w:pPr>
    <w:rPr>
      <w:szCs w:val="24"/>
    </w:rPr>
  </w:style>
  <w:style w:type="paragraph" w:styleId="37">
    <w:name w:val="Body Text Indent 3"/>
    <w:basedOn w:val="1"/>
    <w:link w:val="274"/>
    <w:qFormat/>
    <w:uiPriority w:val="0"/>
    <w:pPr>
      <w:spacing w:line="360" w:lineRule="auto"/>
      <w:ind w:left="224" w:firstLine="466" w:firstLineChars="194"/>
    </w:pPr>
    <w:rPr>
      <w:rFonts w:ascii="仿宋_GB2312" w:hAnsi="宋体" w:eastAsia="仿宋_GB2312"/>
      <w:color w:val="000000"/>
      <w:sz w:val="24"/>
      <w:szCs w:val="24"/>
    </w:rPr>
  </w:style>
  <w:style w:type="paragraph" w:styleId="38">
    <w:name w:val="toc 2"/>
    <w:basedOn w:val="1"/>
    <w:next w:val="1"/>
    <w:qFormat/>
    <w:uiPriority w:val="39"/>
    <w:pPr>
      <w:tabs>
        <w:tab w:val="right" w:leader="dot" w:pos="9498"/>
      </w:tabs>
      <w:adjustRightInd w:val="0"/>
      <w:snapToGrid w:val="0"/>
      <w:ind w:left="50" w:leftChars="50"/>
      <w:jc w:val="left"/>
    </w:pPr>
    <w:rPr>
      <w:b/>
      <w:szCs w:val="24"/>
    </w:rPr>
  </w:style>
  <w:style w:type="paragraph" w:styleId="39">
    <w:name w:val="toc 9"/>
    <w:basedOn w:val="1"/>
    <w:next w:val="1"/>
    <w:qFormat/>
    <w:uiPriority w:val="39"/>
    <w:pPr>
      <w:ind w:left="3360" w:leftChars="1600"/>
    </w:pPr>
    <w:rPr>
      <w:szCs w:val="24"/>
    </w:rPr>
  </w:style>
  <w:style w:type="paragraph" w:styleId="40">
    <w:name w:val="Body Text 2"/>
    <w:basedOn w:val="1"/>
    <w:link w:val="103"/>
    <w:qFormat/>
    <w:uiPriority w:val="0"/>
    <w:pPr>
      <w:spacing w:after="120" w:line="480" w:lineRule="auto"/>
    </w:pPr>
    <w:rPr>
      <w:szCs w:val="24"/>
    </w:rPr>
  </w:style>
  <w:style w:type="paragraph" w:styleId="41">
    <w:name w:val="Normal (Web)"/>
    <w:basedOn w:val="1"/>
    <w:qFormat/>
    <w:uiPriority w:val="99"/>
    <w:pPr>
      <w:widowControl/>
      <w:spacing w:before="100" w:beforeAutospacing="1" w:after="100" w:afterAutospacing="1"/>
      <w:jc w:val="left"/>
    </w:pPr>
    <w:rPr>
      <w:rFonts w:ascii="宋体" w:hAnsi="宋体"/>
      <w:kern w:val="0"/>
      <w:sz w:val="24"/>
      <w:szCs w:val="24"/>
    </w:rPr>
  </w:style>
  <w:style w:type="paragraph" w:styleId="42">
    <w:name w:val="index 1"/>
    <w:basedOn w:val="1"/>
    <w:next w:val="1"/>
    <w:semiHidden/>
    <w:qFormat/>
    <w:uiPriority w:val="0"/>
    <w:rPr>
      <w:spacing w:val="4"/>
      <w:szCs w:val="24"/>
    </w:rPr>
  </w:style>
  <w:style w:type="paragraph" w:styleId="43">
    <w:name w:val="Title"/>
    <w:basedOn w:val="1"/>
    <w:next w:val="1"/>
    <w:link w:val="277"/>
    <w:qFormat/>
    <w:uiPriority w:val="10"/>
    <w:pPr>
      <w:widowControl/>
      <w:spacing w:before="240" w:after="60"/>
      <w:jc w:val="center"/>
      <w:outlineLvl w:val="0"/>
    </w:pPr>
    <w:rPr>
      <w:rFonts w:ascii="Cambria" w:hAnsi="Cambria"/>
      <w:b/>
      <w:bCs/>
      <w:kern w:val="28"/>
      <w:sz w:val="32"/>
      <w:szCs w:val="32"/>
      <w:lang w:eastAsia="en-US" w:bidi="en-US"/>
    </w:rPr>
  </w:style>
  <w:style w:type="paragraph" w:styleId="44">
    <w:name w:val="annotation subject"/>
    <w:basedOn w:val="18"/>
    <w:next w:val="18"/>
    <w:link w:val="298"/>
    <w:semiHidden/>
    <w:unhideWhenUsed/>
    <w:qFormat/>
    <w:uiPriority w:val="99"/>
    <w:rPr>
      <w:b/>
      <w:bCs/>
    </w:rPr>
  </w:style>
  <w:style w:type="paragraph" w:styleId="45">
    <w:name w:val="Body Text First Indent"/>
    <w:basedOn w:val="20"/>
    <w:link w:val="61"/>
    <w:unhideWhenUsed/>
    <w:qFormat/>
    <w:uiPriority w:val="99"/>
    <w:pPr>
      <w:ind w:firstLine="420" w:firstLineChars="100"/>
    </w:pPr>
  </w:style>
  <w:style w:type="table" w:styleId="47">
    <w:name w:val="Table Grid"/>
    <w:basedOn w:val="46"/>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48">
    <w:name w:val="Table Theme"/>
    <w:basedOn w:val="46"/>
    <w:qFormat/>
    <w:uiPriority w:val="0"/>
    <w:pPr>
      <w:widowControl w:val="0"/>
      <w:jc w:val="center"/>
    </w:pPr>
    <w:rPr>
      <w:rFonts w:ascii="Trebuchet MS" w:hAnsi="Trebuchet MS"/>
      <w:sz w:val="21"/>
    </w:rPr>
    <w:tblPr>
      <w:jc w:val="center"/>
      <w:tblBorders>
        <w:top w:val="single" w:color="auto" w:sz="12" w:space="0"/>
        <w:bottom w:val="single" w:color="auto" w:sz="12" w:space="0"/>
        <w:insideH w:val="single" w:color="auto" w:sz="6" w:space="0"/>
        <w:insideV w:val="single" w:color="auto" w:sz="6" w:space="0"/>
      </w:tblBorders>
    </w:tblPr>
    <w:trPr>
      <w:jc w:val="center"/>
    </w:trPr>
    <w:tcPr>
      <w:shd w:val="clear" w:color="auto" w:fill="auto"/>
      <w:vAlign w:val="center"/>
    </w:tcPr>
    <w:tblStylePr w:type="firstRow">
      <w:pPr>
        <w:jc w:val="center"/>
      </w:pPr>
      <w:rPr>
        <w:rFonts w:ascii="Calibri" w:hAnsi="Calibri" w:eastAsia="宋体"/>
        <w:b/>
        <w:sz w:val="21"/>
      </w:rPr>
      <w:tblPr/>
      <w:trPr>
        <w:tblHeader/>
      </w:trPr>
      <w:tcPr>
        <w:shd w:val="clear" w:color="auto" w:fill="E6E6E6"/>
      </w:tcPr>
    </w:tblStylePr>
  </w:style>
  <w:style w:type="character" w:styleId="50">
    <w:name w:val="Strong"/>
    <w:basedOn w:val="49"/>
    <w:qFormat/>
    <w:uiPriority w:val="22"/>
    <w:rPr>
      <w:b/>
      <w:bCs/>
    </w:rPr>
  </w:style>
  <w:style w:type="character" w:styleId="51">
    <w:name w:val="page number"/>
    <w:basedOn w:val="49"/>
    <w:qFormat/>
    <w:uiPriority w:val="0"/>
  </w:style>
  <w:style w:type="character" w:styleId="52">
    <w:name w:val="Emphasis"/>
    <w:basedOn w:val="49"/>
    <w:qFormat/>
    <w:uiPriority w:val="20"/>
    <w:rPr>
      <w:rFonts w:ascii="Calibri" w:hAnsi="Calibri"/>
      <w:b/>
      <w:i/>
      <w:iCs/>
    </w:rPr>
  </w:style>
  <w:style w:type="character" w:styleId="53">
    <w:name w:val="Hyperlink"/>
    <w:basedOn w:val="49"/>
    <w:qFormat/>
    <w:uiPriority w:val="99"/>
    <w:rPr>
      <w:color w:val="0000FF"/>
      <w:u w:val="single"/>
    </w:rPr>
  </w:style>
  <w:style w:type="character" w:styleId="54">
    <w:name w:val="annotation reference"/>
    <w:basedOn w:val="49"/>
    <w:semiHidden/>
    <w:unhideWhenUsed/>
    <w:qFormat/>
    <w:uiPriority w:val="99"/>
    <w:rPr>
      <w:sz w:val="21"/>
      <w:szCs w:val="21"/>
    </w:rPr>
  </w:style>
  <w:style w:type="character" w:customStyle="1" w:styleId="55">
    <w:name w:val="日期 字符"/>
    <w:basedOn w:val="49"/>
    <w:link w:val="27"/>
    <w:qFormat/>
    <w:uiPriority w:val="99"/>
    <w:rPr>
      <w:kern w:val="2"/>
      <w:sz w:val="21"/>
    </w:rPr>
  </w:style>
  <w:style w:type="paragraph" w:customStyle="1" w:styleId="56">
    <w:name w:val="默认段落字体 Para Char Char Char Char Char Char Char Char Char Char"/>
    <w:basedOn w:val="1"/>
    <w:qFormat/>
    <w:uiPriority w:val="0"/>
    <w:rPr>
      <w:szCs w:val="24"/>
    </w:rPr>
  </w:style>
  <w:style w:type="character" w:customStyle="1" w:styleId="57">
    <w:name w:val="批注框文本 字符"/>
    <w:basedOn w:val="49"/>
    <w:link w:val="29"/>
    <w:semiHidden/>
    <w:qFormat/>
    <w:uiPriority w:val="99"/>
    <w:rPr>
      <w:kern w:val="2"/>
      <w:sz w:val="18"/>
      <w:szCs w:val="18"/>
    </w:rPr>
  </w:style>
  <w:style w:type="paragraph" w:customStyle="1" w:styleId="58">
    <w:name w:val="Char"/>
    <w:basedOn w:val="1"/>
    <w:qFormat/>
    <w:uiPriority w:val="0"/>
    <w:pPr>
      <w:widowControl/>
      <w:spacing w:line="400" w:lineRule="exact"/>
      <w:jc w:val="center"/>
    </w:pPr>
    <w:rPr>
      <w:rFonts w:ascii="Verdana" w:hAnsi="Verdana"/>
      <w:kern w:val="0"/>
      <w:sz w:val="24"/>
      <w:lang w:eastAsia="en-US"/>
    </w:rPr>
  </w:style>
  <w:style w:type="paragraph" w:customStyle="1" w:styleId="59">
    <w:name w:val="样式 正文首行缩进 + 首行缩进:  1 字符"/>
    <w:link w:val="86"/>
    <w:qFormat/>
    <w:uiPriority w:val="0"/>
    <w:pPr>
      <w:adjustRightInd w:val="0"/>
      <w:spacing w:line="360" w:lineRule="auto"/>
      <w:ind w:firstLine="100" w:firstLineChars="200"/>
      <w:textAlignment w:val="baseline"/>
    </w:pPr>
    <w:rPr>
      <w:rFonts w:ascii="Times New Roman" w:hAnsi="Times New Roman" w:eastAsia="宋体" w:cs="宋体"/>
      <w:sz w:val="24"/>
      <w:lang w:val="en-US" w:eastAsia="zh-CN" w:bidi="ar-SA"/>
    </w:rPr>
  </w:style>
  <w:style w:type="character" w:customStyle="1" w:styleId="60">
    <w:name w:val="正文文本 字符"/>
    <w:basedOn w:val="49"/>
    <w:link w:val="20"/>
    <w:qFormat/>
    <w:uiPriority w:val="99"/>
    <w:rPr>
      <w:kern w:val="2"/>
      <w:sz w:val="21"/>
    </w:rPr>
  </w:style>
  <w:style w:type="character" w:customStyle="1" w:styleId="61">
    <w:name w:val="正文文本首行缩进 字符"/>
    <w:basedOn w:val="60"/>
    <w:link w:val="45"/>
    <w:qFormat/>
    <w:uiPriority w:val="99"/>
    <w:rPr>
      <w:kern w:val="2"/>
      <w:sz w:val="21"/>
    </w:rPr>
  </w:style>
  <w:style w:type="character" w:customStyle="1" w:styleId="62">
    <w:name w:val="标题 2 字符"/>
    <w:basedOn w:val="49"/>
    <w:link w:val="3"/>
    <w:qFormat/>
    <w:uiPriority w:val="9"/>
    <w:rPr>
      <w:rFonts w:ascii="Arial" w:hAnsi="Arial" w:eastAsia="黑体"/>
      <w:b/>
      <w:bCs/>
      <w:kern w:val="2"/>
      <w:sz w:val="32"/>
      <w:szCs w:val="32"/>
    </w:rPr>
  </w:style>
  <w:style w:type="paragraph" w:customStyle="1" w:styleId="63">
    <w:name w:val="hc 正文"/>
    <w:basedOn w:val="1"/>
    <w:link w:val="64"/>
    <w:qFormat/>
    <w:uiPriority w:val="0"/>
    <w:pPr>
      <w:spacing w:before="156" w:line="360" w:lineRule="auto"/>
      <w:ind w:firstLine="560" w:firstLineChars="200"/>
    </w:pPr>
    <w:rPr>
      <w:rFonts w:ascii="宋体" w:cs="宋体"/>
      <w:sz w:val="28"/>
    </w:rPr>
  </w:style>
  <w:style w:type="character" w:customStyle="1" w:styleId="64">
    <w:name w:val="hc 正文 Char"/>
    <w:basedOn w:val="49"/>
    <w:link w:val="63"/>
    <w:qFormat/>
    <w:uiPriority w:val="0"/>
    <w:rPr>
      <w:rFonts w:ascii="宋体" w:cs="宋体"/>
      <w:kern w:val="2"/>
      <w:sz w:val="28"/>
    </w:rPr>
  </w:style>
  <w:style w:type="character" w:customStyle="1" w:styleId="65">
    <w:name w:val="img"/>
    <w:basedOn w:val="49"/>
    <w:qFormat/>
    <w:uiPriority w:val="0"/>
  </w:style>
  <w:style w:type="paragraph" w:styleId="66">
    <w:name w:val="List Paragraph"/>
    <w:basedOn w:val="1"/>
    <w:qFormat/>
    <w:uiPriority w:val="34"/>
    <w:pPr>
      <w:ind w:firstLine="420" w:firstLineChars="200"/>
    </w:pPr>
  </w:style>
  <w:style w:type="character" w:customStyle="1" w:styleId="67">
    <w:name w:val="标题 1 字符"/>
    <w:basedOn w:val="49"/>
    <w:link w:val="2"/>
    <w:qFormat/>
    <w:uiPriority w:val="0"/>
    <w:rPr>
      <w:b/>
      <w:bCs/>
      <w:kern w:val="44"/>
      <w:sz w:val="44"/>
      <w:szCs w:val="44"/>
    </w:rPr>
  </w:style>
  <w:style w:type="paragraph" w:customStyle="1" w:styleId="68">
    <w:name w:val="图标题"/>
    <w:basedOn w:val="1"/>
    <w:qFormat/>
    <w:uiPriority w:val="0"/>
    <w:pPr>
      <w:spacing w:beforeLines="50" w:afterLines="50"/>
      <w:jc w:val="center"/>
    </w:pPr>
    <w:rPr>
      <w:b/>
      <w:szCs w:val="21"/>
    </w:rPr>
  </w:style>
  <w:style w:type="paragraph" w:customStyle="1" w:styleId="69">
    <w:name w:val="默认段落字体 Para Char"/>
    <w:basedOn w:val="1"/>
    <w:qFormat/>
    <w:uiPriority w:val="0"/>
    <w:rPr>
      <w:szCs w:val="24"/>
    </w:rPr>
  </w:style>
  <w:style w:type="character" w:customStyle="1" w:styleId="70">
    <w:name w:val="标题 3 字符"/>
    <w:basedOn w:val="49"/>
    <w:link w:val="4"/>
    <w:qFormat/>
    <w:uiPriority w:val="9"/>
    <w:rPr>
      <w:rFonts w:eastAsia="仿宋_GB2312"/>
      <w:b/>
      <w:bCs/>
      <w:kern w:val="2"/>
      <w:sz w:val="28"/>
      <w:szCs w:val="24"/>
    </w:rPr>
  </w:style>
  <w:style w:type="character" w:customStyle="1" w:styleId="71">
    <w:name w:val="标题4"/>
    <w:basedOn w:val="49"/>
    <w:qFormat/>
    <w:uiPriority w:val="9"/>
    <w:rPr>
      <w:rFonts w:ascii="Cambria" w:hAnsi="Cambria" w:eastAsia="仿宋_GB2312" w:cs="Times New Roman"/>
      <w:b/>
      <w:bCs/>
      <w:kern w:val="2"/>
      <w:sz w:val="24"/>
      <w:szCs w:val="28"/>
    </w:rPr>
  </w:style>
  <w:style w:type="character" w:customStyle="1" w:styleId="72">
    <w:name w:val="标题 5 字符"/>
    <w:basedOn w:val="49"/>
    <w:link w:val="6"/>
    <w:qFormat/>
    <w:uiPriority w:val="9"/>
    <w:rPr>
      <w:rFonts w:ascii="宋体"/>
      <w:bCs/>
      <w:kern w:val="2"/>
      <w:sz w:val="24"/>
      <w:szCs w:val="24"/>
    </w:rPr>
  </w:style>
  <w:style w:type="character" w:customStyle="1" w:styleId="73">
    <w:name w:val="标题 6 字符"/>
    <w:basedOn w:val="49"/>
    <w:link w:val="10"/>
    <w:qFormat/>
    <w:uiPriority w:val="9"/>
    <w:rPr>
      <w:rFonts w:ascii="Arial" w:hAnsi="Arial"/>
      <w:bCs/>
      <w:sz w:val="24"/>
      <w:szCs w:val="24"/>
    </w:rPr>
  </w:style>
  <w:style w:type="character" w:customStyle="1" w:styleId="74">
    <w:name w:val="标题 7 字符"/>
    <w:basedOn w:val="49"/>
    <w:link w:val="11"/>
    <w:qFormat/>
    <w:uiPriority w:val="9"/>
    <w:rPr>
      <w:b/>
      <w:bCs/>
      <w:sz w:val="24"/>
      <w:szCs w:val="24"/>
    </w:rPr>
  </w:style>
  <w:style w:type="character" w:customStyle="1" w:styleId="75">
    <w:name w:val="标题 8 字符"/>
    <w:basedOn w:val="49"/>
    <w:link w:val="12"/>
    <w:qFormat/>
    <w:uiPriority w:val="9"/>
    <w:rPr>
      <w:rFonts w:ascii="Arial" w:hAnsi="Arial" w:eastAsia="黑体" w:cs="Arial"/>
      <w:sz w:val="24"/>
      <w:szCs w:val="24"/>
    </w:rPr>
  </w:style>
  <w:style w:type="character" w:customStyle="1" w:styleId="76">
    <w:name w:val="标题 9 字符"/>
    <w:basedOn w:val="49"/>
    <w:link w:val="13"/>
    <w:qFormat/>
    <w:uiPriority w:val="9"/>
    <w:rPr>
      <w:rFonts w:ascii="Arial" w:hAnsi="Arial" w:eastAsia="黑体" w:cs="Arial"/>
      <w:sz w:val="24"/>
      <w:szCs w:val="24"/>
    </w:rPr>
  </w:style>
  <w:style w:type="paragraph" w:customStyle="1" w:styleId="77">
    <w:name w:val="样式 居中 首行缩进:  2 字符 段后: 7.8 磅"/>
    <w:basedOn w:val="1"/>
    <w:link w:val="150"/>
    <w:qFormat/>
    <w:uiPriority w:val="0"/>
    <w:pPr>
      <w:spacing w:after="156" w:line="500" w:lineRule="exact"/>
      <w:ind w:firstLine="200" w:firstLineChars="200"/>
      <w:jc w:val="left"/>
    </w:pPr>
    <w:rPr>
      <w:rFonts w:ascii="宋体" w:cs="宋体"/>
      <w:sz w:val="24"/>
      <w:szCs w:val="24"/>
    </w:rPr>
  </w:style>
  <w:style w:type="character" w:customStyle="1" w:styleId="78">
    <w:name w:val="正文文本缩进 字符"/>
    <w:basedOn w:val="49"/>
    <w:link w:val="9"/>
    <w:qFormat/>
    <w:uiPriority w:val="0"/>
    <w:rPr>
      <w:kern w:val="2"/>
      <w:sz w:val="24"/>
    </w:rPr>
  </w:style>
  <w:style w:type="character" w:customStyle="1" w:styleId="79">
    <w:name w:val="正文文本首行缩进 2 字符"/>
    <w:basedOn w:val="78"/>
    <w:link w:val="8"/>
    <w:qFormat/>
    <w:uiPriority w:val="0"/>
    <w:rPr>
      <w:kern w:val="2"/>
      <w:sz w:val="24"/>
      <w:szCs w:val="24"/>
    </w:rPr>
  </w:style>
  <w:style w:type="paragraph" w:customStyle="1" w:styleId="80">
    <w:name w:val="样式 样式 标题 2 + Times New Roman 四号 两端对齐 行距: 1.5 倍行距 + 宋体"/>
    <w:basedOn w:val="1"/>
    <w:qFormat/>
    <w:uiPriority w:val="0"/>
    <w:pPr>
      <w:keepNext/>
      <w:keepLines/>
      <w:adjustRightInd w:val="0"/>
      <w:spacing w:before="260" w:after="260" w:line="360" w:lineRule="auto"/>
      <w:textAlignment w:val="baseline"/>
      <w:outlineLvl w:val="1"/>
    </w:pPr>
    <w:rPr>
      <w:rFonts w:ascii="宋体" w:hAnsi="宋体" w:eastAsia="黑体"/>
      <w:b/>
      <w:bCs/>
      <w:sz w:val="28"/>
    </w:rPr>
  </w:style>
  <w:style w:type="paragraph" w:customStyle="1" w:styleId="81">
    <w:name w:val="报告图题"/>
    <w:basedOn w:val="1"/>
    <w:next w:val="1"/>
    <w:qFormat/>
    <w:uiPriority w:val="0"/>
    <w:pPr>
      <w:spacing w:before="120" w:after="120" w:line="400" w:lineRule="exact"/>
      <w:jc w:val="center"/>
    </w:pPr>
    <w:rPr>
      <w:rFonts w:ascii="黑体" w:eastAsia="黑体"/>
    </w:rPr>
  </w:style>
  <w:style w:type="paragraph" w:customStyle="1" w:styleId="82">
    <w:name w:val="样式 标题 1 + 居中"/>
    <w:basedOn w:val="2"/>
    <w:qFormat/>
    <w:uiPriority w:val="0"/>
    <w:pPr>
      <w:pageBreakBefore/>
      <w:adjustRightInd w:val="0"/>
      <w:spacing w:before="120" w:after="240"/>
      <w:jc w:val="center"/>
      <w:textAlignment w:val="baseline"/>
    </w:pPr>
    <w:rPr>
      <w:rFonts w:ascii="Arial" w:hAnsi="Arial" w:eastAsia="黑体" w:cs="宋体"/>
      <w:sz w:val="32"/>
      <w:szCs w:val="32"/>
    </w:rPr>
  </w:style>
  <w:style w:type="paragraph" w:customStyle="1" w:styleId="83">
    <w:name w:val="样式 样式 正文首行缩进 + 首行缩进:  1 字符 + 首行缩进:  2 字符"/>
    <w:basedOn w:val="1"/>
    <w:link w:val="84"/>
    <w:qFormat/>
    <w:uiPriority w:val="0"/>
    <w:pPr>
      <w:tabs>
        <w:tab w:val="left" w:pos="420"/>
      </w:tabs>
      <w:adjustRightInd w:val="0"/>
      <w:snapToGrid w:val="0"/>
      <w:spacing w:afterLines="50" w:line="400" w:lineRule="exact"/>
      <w:ind w:firstLine="480" w:firstLineChars="200"/>
      <w:jc w:val="left"/>
      <w:textAlignment w:val="baseline"/>
    </w:pPr>
    <w:rPr>
      <w:kern w:val="0"/>
      <w:sz w:val="24"/>
      <w:szCs w:val="24"/>
    </w:rPr>
  </w:style>
  <w:style w:type="character" w:customStyle="1" w:styleId="84">
    <w:name w:val="样式 样式 正文首行缩进 + 首行缩进:  1 字符 + 首行缩进:  2 字符 Char"/>
    <w:basedOn w:val="49"/>
    <w:link w:val="83"/>
    <w:qFormat/>
    <w:uiPriority w:val="0"/>
    <w:rPr>
      <w:sz w:val="24"/>
      <w:szCs w:val="24"/>
    </w:rPr>
  </w:style>
  <w:style w:type="paragraph" w:customStyle="1" w:styleId="85">
    <w:name w:val="样式 宋体 小一 居中"/>
    <w:basedOn w:val="1"/>
    <w:qFormat/>
    <w:uiPriority w:val="0"/>
    <w:pPr>
      <w:spacing w:afterLines="50" w:line="360" w:lineRule="auto"/>
      <w:jc w:val="center"/>
    </w:pPr>
    <w:rPr>
      <w:rFonts w:ascii="宋体" w:hAnsi="宋体" w:cs="宋体"/>
      <w:sz w:val="48"/>
    </w:rPr>
  </w:style>
  <w:style w:type="character" w:customStyle="1" w:styleId="86">
    <w:name w:val="样式 正文首行缩进 + 首行缩进:  1 字符 Char"/>
    <w:basedOn w:val="49"/>
    <w:link w:val="59"/>
    <w:qFormat/>
    <w:uiPriority w:val="0"/>
    <w:rPr>
      <w:rFonts w:cs="宋体"/>
      <w:sz w:val="24"/>
      <w:lang w:val="en-US" w:eastAsia="zh-CN" w:bidi="ar-SA"/>
    </w:rPr>
  </w:style>
  <w:style w:type="paragraph" w:customStyle="1" w:styleId="87">
    <w:name w:val="样式 正文首行缩进 + 首行缩进:  2 字符"/>
    <w:basedOn w:val="45"/>
    <w:link w:val="88"/>
    <w:qFormat/>
    <w:uiPriority w:val="0"/>
    <w:pPr>
      <w:adjustRightInd w:val="0"/>
      <w:spacing w:after="0" w:line="360" w:lineRule="auto"/>
      <w:ind w:firstLine="480" w:firstLineChars="200"/>
      <w:textAlignment w:val="baseline"/>
    </w:pPr>
    <w:rPr>
      <w:rFonts w:cs="宋体"/>
      <w:kern w:val="0"/>
      <w:sz w:val="24"/>
      <w:szCs w:val="24"/>
    </w:rPr>
  </w:style>
  <w:style w:type="character" w:customStyle="1" w:styleId="88">
    <w:name w:val="样式 正文首行缩进 + 首行缩进:  2 字符 Char"/>
    <w:basedOn w:val="49"/>
    <w:link w:val="87"/>
    <w:qFormat/>
    <w:uiPriority w:val="0"/>
    <w:rPr>
      <w:rFonts w:cs="宋体"/>
      <w:sz w:val="24"/>
      <w:szCs w:val="24"/>
    </w:rPr>
  </w:style>
  <w:style w:type="character" w:customStyle="1" w:styleId="89">
    <w:name w:val="样式 正文首行缩进 2 Char Char"/>
    <w:basedOn w:val="79"/>
    <w:link w:val="7"/>
    <w:qFormat/>
    <w:uiPriority w:val="0"/>
    <w:rPr>
      <w:rFonts w:ascii="宋体" w:cs="宋体"/>
      <w:kern w:val="2"/>
      <w:sz w:val="24"/>
      <w:szCs w:val="24"/>
    </w:rPr>
  </w:style>
  <w:style w:type="paragraph" w:customStyle="1" w:styleId="90">
    <w:name w:val="+列表编号"/>
    <w:basedOn w:val="1"/>
    <w:qFormat/>
    <w:uiPriority w:val="0"/>
    <w:pPr>
      <w:tabs>
        <w:tab w:val="center" w:pos="4200"/>
        <w:tab w:val="right" w:pos="8400"/>
      </w:tabs>
      <w:spacing w:line="360" w:lineRule="auto"/>
      <w:jc w:val="center"/>
    </w:pPr>
    <w:rPr>
      <w:b/>
      <w:sz w:val="24"/>
      <w:szCs w:val="24"/>
    </w:rPr>
  </w:style>
  <w:style w:type="paragraph" w:customStyle="1" w:styleId="91">
    <w:name w:val="+正文"/>
    <w:basedOn w:val="1"/>
    <w:link w:val="94"/>
    <w:qFormat/>
    <w:uiPriority w:val="0"/>
    <w:pPr>
      <w:spacing w:line="360" w:lineRule="auto"/>
      <w:ind w:firstLine="200" w:firstLineChars="200"/>
    </w:pPr>
    <w:rPr>
      <w:sz w:val="28"/>
      <w:szCs w:val="28"/>
    </w:rPr>
  </w:style>
  <w:style w:type="paragraph" w:customStyle="1" w:styleId="92">
    <w:name w:val="+列表1"/>
    <w:basedOn w:val="1"/>
    <w:qFormat/>
    <w:uiPriority w:val="0"/>
    <w:pPr>
      <w:jc w:val="center"/>
    </w:pPr>
    <w:rPr>
      <w:sz w:val="24"/>
      <w:szCs w:val="24"/>
    </w:rPr>
  </w:style>
  <w:style w:type="paragraph" w:customStyle="1" w:styleId="93">
    <w:name w:val="+(1)"/>
    <w:basedOn w:val="91"/>
    <w:qFormat/>
    <w:uiPriority w:val="0"/>
    <w:pPr>
      <w:numPr>
        <w:ilvl w:val="2"/>
        <w:numId w:val="2"/>
      </w:numPr>
      <w:tabs>
        <w:tab w:val="left" w:pos="1800"/>
        <w:tab w:val="clear" w:pos="2268"/>
      </w:tabs>
      <w:ind w:left="1800" w:hanging="420" w:firstLineChars="0"/>
    </w:pPr>
    <w:rPr>
      <w:sz w:val="24"/>
    </w:rPr>
  </w:style>
  <w:style w:type="character" w:customStyle="1" w:styleId="94">
    <w:name w:val="+正文 Char"/>
    <w:basedOn w:val="49"/>
    <w:link w:val="91"/>
    <w:qFormat/>
    <w:uiPriority w:val="0"/>
    <w:rPr>
      <w:kern w:val="2"/>
      <w:sz w:val="28"/>
      <w:szCs w:val="28"/>
    </w:rPr>
  </w:style>
  <w:style w:type="paragraph" w:customStyle="1" w:styleId="95">
    <w:name w:val="+1)"/>
    <w:basedOn w:val="91"/>
    <w:qFormat/>
    <w:uiPriority w:val="0"/>
    <w:pPr>
      <w:numPr>
        <w:ilvl w:val="3"/>
        <w:numId w:val="3"/>
      </w:numPr>
      <w:tabs>
        <w:tab w:val="left" w:pos="900"/>
        <w:tab w:val="clear" w:pos="2976"/>
      </w:tabs>
      <w:ind w:left="900" w:hanging="360" w:firstLineChars="0"/>
    </w:pPr>
    <w:rPr>
      <w:sz w:val="24"/>
    </w:rPr>
  </w:style>
  <w:style w:type="paragraph" w:customStyle="1" w:styleId="96">
    <w:name w:val="+1."/>
    <w:basedOn w:val="91"/>
    <w:link w:val="97"/>
    <w:qFormat/>
    <w:uiPriority w:val="0"/>
    <w:pPr>
      <w:numPr>
        <w:ilvl w:val="1"/>
        <w:numId w:val="4"/>
      </w:numPr>
      <w:ind w:firstLineChars="0"/>
    </w:pPr>
    <w:rPr>
      <w:sz w:val="24"/>
    </w:rPr>
  </w:style>
  <w:style w:type="character" w:customStyle="1" w:styleId="97">
    <w:name w:val="+1. Char"/>
    <w:basedOn w:val="94"/>
    <w:link w:val="96"/>
    <w:qFormat/>
    <w:uiPriority w:val="0"/>
    <w:rPr>
      <w:kern w:val="2"/>
      <w:sz w:val="24"/>
      <w:szCs w:val="28"/>
    </w:rPr>
  </w:style>
  <w:style w:type="paragraph" w:customStyle="1" w:styleId="98">
    <w:name w:val="+a)"/>
    <w:basedOn w:val="91"/>
    <w:qFormat/>
    <w:uiPriority w:val="0"/>
    <w:pPr>
      <w:numPr>
        <w:ilvl w:val="5"/>
        <w:numId w:val="2"/>
      </w:numPr>
      <w:tabs>
        <w:tab w:val="left" w:pos="3060"/>
        <w:tab w:val="clear" w:pos="4677"/>
      </w:tabs>
      <w:ind w:left="3060" w:hanging="420" w:firstLineChars="0"/>
    </w:pPr>
    <w:rPr>
      <w:sz w:val="24"/>
    </w:rPr>
  </w:style>
  <w:style w:type="paragraph" w:customStyle="1" w:styleId="99">
    <w:name w:val="+●"/>
    <w:basedOn w:val="91"/>
    <w:qFormat/>
    <w:uiPriority w:val="0"/>
    <w:pPr>
      <w:numPr>
        <w:ilvl w:val="6"/>
        <w:numId w:val="5"/>
      </w:numPr>
      <w:tabs>
        <w:tab w:val="left" w:pos="3601"/>
        <w:tab w:val="clear" w:pos="3420"/>
      </w:tabs>
      <w:ind w:left="3601" w:firstLine="0" w:firstLineChars="0"/>
    </w:pPr>
    <w:rPr>
      <w:sz w:val="24"/>
      <w:szCs w:val="24"/>
    </w:rPr>
  </w:style>
  <w:style w:type="paragraph" w:customStyle="1" w:styleId="100">
    <w:name w:val="样式 样式 正文首行缩进 + 首行缩进:  1 字符 + 加粗 首行缩进:  2 字符"/>
    <w:basedOn w:val="59"/>
    <w:link w:val="101"/>
    <w:qFormat/>
    <w:uiPriority w:val="0"/>
    <w:pPr>
      <w:widowControl w:val="0"/>
      <w:ind w:firstLine="482"/>
      <w:jc w:val="both"/>
    </w:pPr>
    <w:rPr>
      <w:b/>
      <w:bCs/>
    </w:rPr>
  </w:style>
  <w:style w:type="character" w:customStyle="1" w:styleId="101">
    <w:name w:val="样式 样式 正文首行缩进 + 首行缩进:  1 字符 + 加粗 首行缩进:  2 字符 Char"/>
    <w:basedOn w:val="86"/>
    <w:link w:val="100"/>
    <w:qFormat/>
    <w:uiPriority w:val="0"/>
    <w:rPr>
      <w:rFonts w:cs="宋体"/>
      <w:b/>
      <w:bCs/>
      <w:sz w:val="24"/>
      <w:lang w:val="en-US" w:eastAsia="zh-CN" w:bidi="ar-SA"/>
    </w:rPr>
  </w:style>
  <w:style w:type="paragraph" w:customStyle="1" w:styleId="102">
    <w:name w:val="样式 五号 居中"/>
    <w:basedOn w:val="1"/>
    <w:qFormat/>
    <w:uiPriority w:val="0"/>
    <w:pPr>
      <w:jc w:val="center"/>
    </w:pPr>
    <w:rPr>
      <w:rFonts w:cs="宋体"/>
    </w:rPr>
  </w:style>
  <w:style w:type="character" w:customStyle="1" w:styleId="103">
    <w:name w:val="正文文本 2 字符"/>
    <w:basedOn w:val="49"/>
    <w:link w:val="40"/>
    <w:qFormat/>
    <w:uiPriority w:val="0"/>
    <w:rPr>
      <w:kern w:val="2"/>
      <w:sz w:val="21"/>
      <w:szCs w:val="24"/>
    </w:rPr>
  </w:style>
  <w:style w:type="paragraph" w:customStyle="1" w:styleId="104">
    <w:name w:val="样式 首行缩进:  2 字符 段后: 7.8 磅 Char Char Char Char Char Char"/>
    <w:basedOn w:val="1"/>
    <w:link w:val="105"/>
    <w:qFormat/>
    <w:uiPriority w:val="0"/>
    <w:pPr>
      <w:widowControl/>
      <w:spacing w:after="156" w:line="500" w:lineRule="exact"/>
      <w:ind w:firstLine="480" w:firstLineChars="200"/>
      <w:jc w:val="left"/>
    </w:pPr>
    <w:rPr>
      <w:rFonts w:ascii="Arial" w:hAnsi="Arial" w:cs="Arial"/>
      <w:sz w:val="24"/>
      <w:szCs w:val="28"/>
    </w:rPr>
  </w:style>
  <w:style w:type="character" w:customStyle="1" w:styleId="105">
    <w:name w:val="样式 首行缩进:  2 字符 段后: 7.8 磅 Char Char Char Char Char Char Char"/>
    <w:basedOn w:val="49"/>
    <w:link w:val="104"/>
    <w:qFormat/>
    <w:uiPriority w:val="0"/>
    <w:rPr>
      <w:rFonts w:ascii="Arial" w:hAnsi="Arial" w:cs="Arial"/>
      <w:kern w:val="2"/>
      <w:sz w:val="24"/>
      <w:szCs w:val="28"/>
    </w:rPr>
  </w:style>
  <w:style w:type="paragraph" w:customStyle="1" w:styleId="106">
    <w:name w:val="样式 首行缩进:  2 字符 段后: 7.8 磅"/>
    <w:basedOn w:val="1"/>
    <w:qFormat/>
    <w:uiPriority w:val="0"/>
    <w:pPr>
      <w:widowControl/>
      <w:spacing w:after="156" w:line="500" w:lineRule="exact"/>
      <w:ind w:firstLine="560" w:firstLineChars="200"/>
      <w:jc w:val="left"/>
    </w:pPr>
    <w:rPr>
      <w:rFonts w:ascii="华文细黑" w:hAnsi="华文细黑" w:eastAsia="楷体_GB2312" w:cs="宋体"/>
      <w:color w:val="000000"/>
      <w:sz w:val="28"/>
      <w:szCs w:val="28"/>
    </w:rPr>
  </w:style>
  <w:style w:type="paragraph" w:customStyle="1" w:styleId="107">
    <w:name w:val="样式1"/>
    <w:basedOn w:val="45"/>
    <w:qFormat/>
    <w:uiPriority w:val="0"/>
    <w:pPr>
      <w:adjustRightInd w:val="0"/>
      <w:spacing w:after="0" w:line="540" w:lineRule="exact"/>
      <w:ind w:firstLine="100" w:firstLineChars="200"/>
      <w:textAlignment w:val="baseline"/>
    </w:pPr>
    <w:rPr>
      <w:kern w:val="0"/>
      <w:sz w:val="28"/>
      <w:szCs w:val="28"/>
    </w:rPr>
  </w:style>
  <w:style w:type="paragraph" w:customStyle="1" w:styleId="108">
    <w:name w:val="正文格式"/>
    <w:basedOn w:val="1"/>
    <w:qFormat/>
    <w:uiPriority w:val="0"/>
    <w:pPr>
      <w:spacing w:line="360" w:lineRule="auto"/>
      <w:ind w:firstLine="200" w:firstLineChars="200"/>
    </w:pPr>
    <w:rPr>
      <w:sz w:val="28"/>
      <w:szCs w:val="28"/>
    </w:rPr>
  </w:style>
  <w:style w:type="paragraph" w:customStyle="1" w:styleId="109">
    <w:name w:val="样式 样式 标题 1 + 居中 + 段前: 12 磅"/>
    <w:basedOn w:val="82"/>
    <w:qFormat/>
    <w:uiPriority w:val="0"/>
    <w:pPr>
      <w:pageBreakBefore w:val="0"/>
      <w:spacing w:before="240"/>
    </w:pPr>
    <w:rPr>
      <w:rFonts w:cs="Arial"/>
    </w:rPr>
  </w:style>
  <w:style w:type="character" w:customStyle="1" w:styleId="110">
    <w:name w:val="文档结构图 字符"/>
    <w:basedOn w:val="49"/>
    <w:link w:val="17"/>
    <w:semiHidden/>
    <w:qFormat/>
    <w:uiPriority w:val="99"/>
    <w:rPr>
      <w:sz w:val="24"/>
      <w:szCs w:val="24"/>
      <w:shd w:val="clear" w:color="auto" w:fill="000080"/>
    </w:rPr>
  </w:style>
  <w:style w:type="paragraph" w:customStyle="1" w:styleId="111">
    <w:name w:val="表格"/>
    <w:basedOn w:val="1"/>
    <w:qFormat/>
    <w:uiPriority w:val="0"/>
    <w:pPr>
      <w:snapToGrid w:val="0"/>
      <w:spacing w:before="40" w:after="40"/>
      <w:jc w:val="center"/>
    </w:pPr>
    <w:rPr>
      <w:szCs w:val="21"/>
    </w:rPr>
  </w:style>
  <w:style w:type="paragraph" w:customStyle="1" w:styleId="112">
    <w:name w:val="表格项目"/>
    <w:basedOn w:val="1"/>
    <w:qFormat/>
    <w:uiPriority w:val="0"/>
    <w:pPr>
      <w:spacing w:beforeLines="30" w:afterLines="30"/>
    </w:pPr>
    <w:rPr>
      <w:sz w:val="24"/>
      <w:szCs w:val="24"/>
    </w:rPr>
  </w:style>
  <w:style w:type="paragraph" w:customStyle="1" w:styleId="113">
    <w:name w:val="CYP样式"/>
    <w:basedOn w:val="1"/>
    <w:qFormat/>
    <w:uiPriority w:val="0"/>
    <w:pPr>
      <w:spacing w:line="360" w:lineRule="auto"/>
    </w:pPr>
    <w:rPr>
      <w:sz w:val="24"/>
      <w:szCs w:val="24"/>
    </w:rPr>
  </w:style>
  <w:style w:type="paragraph" w:customStyle="1" w:styleId="114">
    <w:name w:val="表头文字"/>
    <w:basedOn w:val="1"/>
    <w:next w:val="9"/>
    <w:qFormat/>
    <w:uiPriority w:val="0"/>
    <w:pPr>
      <w:adjustRightInd w:val="0"/>
      <w:jc w:val="center"/>
      <w:textAlignment w:val="baseline"/>
    </w:pPr>
    <w:rPr>
      <w:rFonts w:ascii="黑体" w:eastAsia="黑体" w:cs="黑体"/>
      <w:b/>
      <w:bCs/>
      <w:kern w:val="0"/>
      <w:sz w:val="28"/>
      <w:szCs w:val="28"/>
    </w:rPr>
  </w:style>
  <w:style w:type="paragraph" w:customStyle="1" w:styleId="115">
    <w:name w:val="+A."/>
    <w:basedOn w:val="91"/>
    <w:qFormat/>
    <w:uiPriority w:val="0"/>
    <w:pPr>
      <w:numPr>
        <w:ilvl w:val="4"/>
        <w:numId w:val="6"/>
      </w:numPr>
      <w:tabs>
        <w:tab w:val="left" w:pos="2526"/>
        <w:tab w:val="clear" w:pos="3827"/>
      </w:tabs>
      <w:ind w:left="2526" w:firstLine="0" w:firstLineChars="0"/>
    </w:pPr>
    <w:rPr>
      <w:sz w:val="24"/>
      <w:szCs w:val="24"/>
    </w:rPr>
  </w:style>
  <w:style w:type="paragraph" w:customStyle="1" w:styleId="116">
    <w:name w:val="+标题1"/>
    <w:basedOn w:val="2"/>
    <w:qFormat/>
    <w:uiPriority w:val="0"/>
    <w:pPr>
      <w:pageBreakBefore/>
      <w:tabs>
        <w:tab w:val="left" w:pos="425"/>
      </w:tabs>
      <w:spacing w:before="240" w:after="240" w:line="360" w:lineRule="auto"/>
      <w:ind w:left="425" w:hanging="425"/>
      <w:jc w:val="center"/>
    </w:pPr>
    <w:rPr>
      <w:rFonts w:eastAsia="黑体"/>
      <w:kern w:val="32"/>
      <w:sz w:val="32"/>
      <w:szCs w:val="32"/>
    </w:rPr>
  </w:style>
  <w:style w:type="paragraph" w:customStyle="1" w:styleId="117">
    <w:name w:val="+标题2"/>
    <w:basedOn w:val="3"/>
    <w:qFormat/>
    <w:uiPriority w:val="0"/>
    <w:pPr>
      <w:spacing w:before="0" w:after="0" w:line="360" w:lineRule="auto"/>
      <w:ind w:left="0" w:firstLine="0"/>
    </w:pPr>
    <w:rPr>
      <w:rFonts w:ascii="Times New Roman" w:hAnsi="Times New Roman" w:eastAsia="宋体"/>
      <w:sz w:val="24"/>
      <w:szCs w:val="24"/>
    </w:rPr>
  </w:style>
  <w:style w:type="paragraph" w:customStyle="1" w:styleId="118">
    <w:name w:val="+标题3"/>
    <w:basedOn w:val="4"/>
    <w:qFormat/>
    <w:uiPriority w:val="0"/>
    <w:pPr>
      <w:spacing w:before="0"/>
      <w:ind w:left="0" w:firstLine="0"/>
    </w:pPr>
    <w:rPr>
      <w:rFonts w:eastAsia="宋体"/>
      <w:b w:val="0"/>
    </w:rPr>
  </w:style>
  <w:style w:type="paragraph" w:customStyle="1" w:styleId="119">
    <w:name w:val="+标题4"/>
    <w:basedOn w:val="5"/>
    <w:qFormat/>
    <w:uiPriority w:val="0"/>
    <w:pPr>
      <w:tabs>
        <w:tab w:val="left" w:pos="3076"/>
      </w:tabs>
      <w:ind w:left="1984"/>
    </w:pPr>
    <w:rPr>
      <w:rFonts w:ascii="Times New Roman" w:hAnsi="Times New Roman"/>
      <w:szCs w:val="24"/>
    </w:rPr>
  </w:style>
  <w:style w:type="paragraph" w:customStyle="1" w:styleId="120">
    <w:name w:val="+列表2"/>
    <w:basedOn w:val="1"/>
    <w:qFormat/>
    <w:uiPriority w:val="0"/>
    <w:pPr>
      <w:jc w:val="center"/>
    </w:pPr>
    <w:rPr>
      <w:sz w:val="18"/>
      <w:szCs w:val="18"/>
    </w:rPr>
  </w:style>
  <w:style w:type="paragraph" w:customStyle="1" w:styleId="121">
    <w:name w:val="+列表3"/>
    <w:basedOn w:val="1"/>
    <w:qFormat/>
    <w:uiPriority w:val="0"/>
    <w:pPr>
      <w:jc w:val="center"/>
    </w:pPr>
    <w:rPr>
      <w:sz w:val="15"/>
      <w:szCs w:val="15"/>
    </w:rPr>
  </w:style>
  <w:style w:type="paragraph" w:customStyle="1" w:styleId="122">
    <w:name w:val="+列表编号横"/>
    <w:basedOn w:val="91"/>
    <w:qFormat/>
    <w:uiPriority w:val="0"/>
    <w:pPr>
      <w:tabs>
        <w:tab w:val="center" w:pos="6720"/>
        <w:tab w:val="right" w:pos="13440"/>
      </w:tabs>
      <w:spacing w:before="120" w:after="120"/>
      <w:ind w:firstLine="0" w:firstLineChars="0"/>
      <w:jc w:val="left"/>
    </w:pPr>
    <w:rPr>
      <w:b/>
      <w:bCs/>
      <w:sz w:val="24"/>
      <w:szCs w:val="24"/>
    </w:rPr>
  </w:style>
  <w:style w:type="table" w:customStyle="1" w:styleId="123">
    <w:name w:val="+列表框2"/>
    <w:qFormat/>
    <w:uiPriority w:val="0"/>
    <w:pPr>
      <w:jc w:val="center"/>
    </w:pPr>
    <w:tblP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
    <w:trPr>
      <w:cantSplit/>
    </w:trPr>
  </w:style>
  <w:style w:type="paragraph" w:customStyle="1" w:styleId="124">
    <w:name w:val="+一、"/>
    <w:basedOn w:val="91"/>
    <w:qFormat/>
    <w:uiPriority w:val="0"/>
    <w:pPr>
      <w:numPr>
        <w:ilvl w:val="0"/>
        <w:numId w:val="7"/>
      </w:numPr>
      <w:tabs>
        <w:tab w:val="left" w:pos="540"/>
        <w:tab w:val="left" w:pos="1021"/>
        <w:tab w:val="clear" w:pos="425"/>
      </w:tabs>
      <w:spacing w:before="120" w:after="120" w:line="240" w:lineRule="auto"/>
      <w:ind w:left="1021" w:firstLine="0" w:firstLineChars="0"/>
      <w:outlineLvl w:val="5"/>
    </w:pPr>
    <w:rPr>
      <w:b/>
      <w:bCs/>
      <w:sz w:val="24"/>
      <w:szCs w:val="24"/>
    </w:rPr>
  </w:style>
  <w:style w:type="paragraph" w:customStyle="1" w:styleId="125">
    <w:name w:val="+正文标题"/>
    <w:basedOn w:val="1"/>
    <w:qFormat/>
    <w:uiPriority w:val="0"/>
    <w:pPr>
      <w:keepNext/>
      <w:keepLines/>
      <w:pageBreakBefore/>
      <w:spacing w:before="240" w:after="240" w:line="360" w:lineRule="auto"/>
      <w:jc w:val="center"/>
      <w:outlineLvl w:val="4"/>
    </w:pPr>
    <w:rPr>
      <w:rFonts w:eastAsia="黑体"/>
      <w:b/>
      <w:bCs/>
      <w:sz w:val="32"/>
      <w:szCs w:val="32"/>
    </w:rPr>
  </w:style>
  <w:style w:type="paragraph" w:customStyle="1" w:styleId="126">
    <w:name w:val="+注："/>
    <w:basedOn w:val="1"/>
    <w:qFormat/>
    <w:uiPriority w:val="0"/>
    <w:pPr>
      <w:spacing w:line="360" w:lineRule="auto"/>
      <w:ind w:firstLine="200" w:firstLineChars="200"/>
    </w:pPr>
    <w:rPr>
      <w:szCs w:val="21"/>
    </w:rPr>
  </w:style>
  <w:style w:type="character" w:customStyle="1" w:styleId="127">
    <w:name w:val="+正文 Char Char"/>
    <w:basedOn w:val="49"/>
    <w:qFormat/>
    <w:locked/>
    <w:uiPriority w:val="0"/>
    <w:rPr>
      <w:rFonts w:eastAsia="宋体"/>
      <w:kern w:val="2"/>
      <w:sz w:val="28"/>
      <w:szCs w:val="28"/>
      <w:lang w:val="en-US" w:eastAsia="zh-CN"/>
    </w:rPr>
  </w:style>
  <w:style w:type="paragraph" w:customStyle="1" w:styleId="128">
    <w:name w:val="报告正文 Char Char"/>
    <w:basedOn w:val="1"/>
    <w:qFormat/>
    <w:uiPriority w:val="0"/>
    <w:pPr>
      <w:adjustRightInd w:val="0"/>
      <w:spacing w:line="480" w:lineRule="exact"/>
      <w:ind w:firstLine="200" w:firstLineChars="200"/>
      <w:textAlignment w:val="baseline"/>
    </w:pPr>
    <w:rPr>
      <w:rFonts w:ascii="宋体" w:cs="宋体"/>
      <w:color w:val="0000FF"/>
      <w:sz w:val="28"/>
      <w:szCs w:val="28"/>
    </w:rPr>
  </w:style>
  <w:style w:type="paragraph" w:customStyle="1" w:styleId="129">
    <w:name w:val="样式 样式 正文首行缩进 2 + 左侧:  2 字符 首行缩进:  2 字符 + 段后: 0.5 行"/>
    <w:basedOn w:val="28"/>
    <w:qFormat/>
    <w:uiPriority w:val="0"/>
    <w:pPr>
      <w:tabs>
        <w:tab w:val="clear" w:pos="5220"/>
      </w:tabs>
      <w:adjustRightInd w:val="0"/>
      <w:spacing w:after="120" w:line="480" w:lineRule="auto"/>
      <w:ind w:left="420" w:leftChars="200" w:firstLine="0" w:firstLineChars="0"/>
      <w:textAlignment w:val="baseline"/>
    </w:pPr>
    <w:rPr>
      <w:rFonts w:ascii="Times New Roman" w:hAnsi="Times New Roman" w:eastAsia="宋体"/>
      <w:color w:val="auto"/>
      <w:kern w:val="0"/>
      <w:szCs w:val="20"/>
    </w:rPr>
  </w:style>
  <w:style w:type="character" w:customStyle="1" w:styleId="130">
    <w:name w:val="样式 宋体 居中"/>
    <w:basedOn w:val="49"/>
    <w:qFormat/>
    <w:uiPriority w:val="0"/>
  </w:style>
  <w:style w:type="character" w:customStyle="1" w:styleId="131">
    <w:name w:val="样式 样式 正文首行缩进 2 + 段后: 0.5 行"/>
    <w:basedOn w:val="49"/>
    <w:qFormat/>
    <w:uiPriority w:val="0"/>
  </w:style>
  <w:style w:type="paragraph" w:customStyle="1" w:styleId="132">
    <w:name w:val="样式 样式 正文首行缩进 2 + 段后: 0.5 行1"/>
    <w:basedOn w:val="8"/>
    <w:qFormat/>
    <w:uiPriority w:val="0"/>
    <w:pPr>
      <w:spacing w:after="120"/>
    </w:pPr>
    <w:rPr>
      <w:szCs w:val="20"/>
    </w:rPr>
  </w:style>
  <w:style w:type="paragraph" w:customStyle="1" w:styleId="133">
    <w:name w:val="样式 首行缩进 2 字符"/>
    <w:basedOn w:val="1"/>
    <w:qFormat/>
    <w:uiPriority w:val="0"/>
    <w:pPr>
      <w:spacing w:after="156" w:line="500" w:lineRule="exact"/>
      <w:ind w:firstLine="560" w:firstLineChars="200"/>
      <w:jc w:val="left"/>
    </w:pPr>
    <w:rPr>
      <w:rFonts w:ascii="宋体" w:hAnsi="宋体" w:cs="宋体"/>
      <w:sz w:val="28"/>
      <w:szCs w:val="28"/>
    </w:rPr>
  </w:style>
  <w:style w:type="paragraph" w:customStyle="1" w:styleId="134">
    <w:name w:val="样式 正文首行缩进 2 + 左侧:  2 字符 首行缩进:  2 字符"/>
    <w:basedOn w:val="8"/>
    <w:link w:val="135"/>
    <w:qFormat/>
    <w:uiPriority w:val="0"/>
    <w:pPr>
      <w:spacing w:afterLines="50"/>
      <w:ind w:left="0" w:firstLine="480"/>
    </w:pPr>
    <w:rPr>
      <w:rFonts w:ascii="宋体" w:cs="宋体"/>
    </w:rPr>
  </w:style>
  <w:style w:type="character" w:customStyle="1" w:styleId="135">
    <w:name w:val="样式 正文首行缩进 2 + 左侧:  2 字符 首行缩进:  2 字符 Char"/>
    <w:basedOn w:val="79"/>
    <w:link w:val="134"/>
    <w:qFormat/>
    <w:uiPriority w:val="0"/>
    <w:rPr>
      <w:rFonts w:ascii="宋体" w:cs="宋体"/>
      <w:kern w:val="2"/>
      <w:sz w:val="24"/>
      <w:szCs w:val="24"/>
    </w:rPr>
  </w:style>
  <w:style w:type="paragraph" w:customStyle="1" w:styleId="136">
    <w:name w:val="样式 标题 51 + 段后: 0.5 行"/>
    <w:basedOn w:val="6"/>
    <w:qFormat/>
    <w:uiPriority w:val="0"/>
    <w:pPr>
      <w:keepLines/>
      <w:widowControl w:val="0"/>
      <w:snapToGrid/>
      <w:spacing w:afterLines="50" w:line="500" w:lineRule="exact"/>
      <w:ind w:left="794" w:hanging="397"/>
    </w:pPr>
    <w:rPr>
      <w:rFonts w:cs="宋体"/>
      <w:bCs w:val="0"/>
      <w:sz w:val="28"/>
      <w:szCs w:val="28"/>
    </w:rPr>
  </w:style>
  <w:style w:type="character" w:customStyle="1" w:styleId="137">
    <w:name w:val="样式 宋体 小一 居中1 Char"/>
    <w:basedOn w:val="49"/>
    <w:link w:val="138"/>
    <w:qFormat/>
    <w:uiPriority w:val="0"/>
    <w:rPr>
      <w:rFonts w:ascii="宋体" w:hAnsi="宋体" w:cs="宋体"/>
      <w:kern w:val="2"/>
      <w:sz w:val="48"/>
    </w:rPr>
  </w:style>
  <w:style w:type="paragraph" w:customStyle="1" w:styleId="138">
    <w:name w:val="样式 宋体 小一 居中1"/>
    <w:basedOn w:val="1"/>
    <w:link w:val="137"/>
    <w:qFormat/>
    <w:uiPriority w:val="0"/>
    <w:pPr>
      <w:spacing w:beforeLines="50"/>
      <w:jc w:val="center"/>
    </w:pPr>
    <w:rPr>
      <w:rFonts w:ascii="宋体" w:hAnsi="宋体" w:cs="宋体"/>
      <w:sz w:val="48"/>
    </w:rPr>
  </w:style>
  <w:style w:type="paragraph" w:customStyle="1" w:styleId="139">
    <w:name w:val="样式 华文细黑 50 磅 加粗 居中"/>
    <w:basedOn w:val="1"/>
    <w:qFormat/>
    <w:uiPriority w:val="0"/>
    <w:pPr>
      <w:jc w:val="center"/>
    </w:pPr>
    <w:rPr>
      <w:rFonts w:ascii="华文细黑" w:hAnsi="宋体" w:eastAsia="华文细黑" w:cs="宋体"/>
      <w:b/>
      <w:bCs/>
      <w:sz w:val="84"/>
    </w:rPr>
  </w:style>
  <w:style w:type="paragraph" w:customStyle="1" w:styleId="140">
    <w:name w:val="样式 小四"/>
    <w:basedOn w:val="1"/>
    <w:link w:val="141"/>
    <w:qFormat/>
    <w:uiPriority w:val="0"/>
    <w:pPr>
      <w:widowControl/>
      <w:jc w:val="center"/>
    </w:pPr>
    <w:rPr>
      <w:rFonts w:ascii="宋体" w:cs="宋体"/>
      <w:sz w:val="24"/>
      <w:szCs w:val="24"/>
    </w:rPr>
  </w:style>
  <w:style w:type="character" w:customStyle="1" w:styleId="141">
    <w:name w:val="样式 小四 Char"/>
    <w:basedOn w:val="49"/>
    <w:link w:val="140"/>
    <w:qFormat/>
    <w:uiPriority w:val="0"/>
    <w:rPr>
      <w:rFonts w:ascii="宋体" w:cs="宋体"/>
      <w:kern w:val="2"/>
      <w:sz w:val="24"/>
      <w:szCs w:val="24"/>
    </w:rPr>
  </w:style>
  <w:style w:type="character" w:customStyle="1" w:styleId="142">
    <w:name w:val="标题 4 字符"/>
    <w:basedOn w:val="49"/>
    <w:link w:val="5"/>
    <w:qFormat/>
    <w:uiPriority w:val="0"/>
    <w:rPr>
      <w:rFonts w:ascii="Arial" w:hAnsi="Arial"/>
      <w:b/>
      <w:bCs/>
      <w:kern w:val="2"/>
      <w:sz w:val="24"/>
      <w:szCs w:val="28"/>
    </w:rPr>
  </w:style>
  <w:style w:type="paragraph" w:customStyle="1" w:styleId="143">
    <w:name w:val="Char1"/>
    <w:basedOn w:val="1"/>
    <w:qFormat/>
    <w:uiPriority w:val="0"/>
    <w:pPr>
      <w:spacing w:line="360" w:lineRule="auto"/>
      <w:ind w:firstLine="200" w:firstLineChars="200"/>
    </w:pPr>
    <w:rPr>
      <w:rFonts w:ascii="Tahoma" w:hAnsi="Tahoma"/>
      <w:sz w:val="24"/>
    </w:rPr>
  </w:style>
  <w:style w:type="paragraph" w:customStyle="1" w:styleId="144">
    <w:name w:val="样式2"/>
    <w:basedOn w:val="107"/>
    <w:qFormat/>
    <w:uiPriority w:val="0"/>
    <w:pPr>
      <w:snapToGrid w:val="0"/>
      <w:spacing w:line="360" w:lineRule="auto"/>
      <w:ind w:firstLine="480"/>
    </w:pPr>
    <w:rPr>
      <w:rFonts w:ascii="黑体" w:eastAsia="黑体"/>
      <w:bCs/>
      <w:snapToGrid w:val="0"/>
      <w:sz w:val="24"/>
      <w:szCs w:val="24"/>
    </w:rPr>
  </w:style>
  <w:style w:type="paragraph" w:customStyle="1" w:styleId="145">
    <w:name w:val="样式 A-正文 + Times New Roman1"/>
    <w:basedOn w:val="1"/>
    <w:qFormat/>
    <w:uiPriority w:val="0"/>
    <w:pPr>
      <w:numPr>
        <w:ilvl w:val="1"/>
        <w:numId w:val="8"/>
      </w:numPr>
      <w:adjustRightInd w:val="0"/>
      <w:spacing w:line="360" w:lineRule="auto"/>
      <w:textAlignment w:val="baseline"/>
    </w:pPr>
    <w:rPr>
      <w:kern w:val="0"/>
      <w:sz w:val="24"/>
      <w:szCs w:val="24"/>
    </w:rPr>
  </w:style>
  <w:style w:type="paragraph" w:customStyle="1" w:styleId="146">
    <w:name w:val="段落文字"/>
    <w:basedOn w:val="1"/>
    <w:qFormat/>
    <w:uiPriority w:val="0"/>
    <w:pPr>
      <w:adjustRightInd w:val="0"/>
      <w:snapToGrid w:val="0"/>
      <w:spacing w:line="360" w:lineRule="auto"/>
      <w:ind w:firstLine="480" w:firstLineChars="200"/>
    </w:pPr>
    <w:rPr>
      <w:sz w:val="24"/>
      <w:szCs w:val="24"/>
    </w:rPr>
  </w:style>
  <w:style w:type="paragraph" w:customStyle="1" w:styleId="147">
    <w:name w:val="样式3"/>
    <w:basedOn w:val="144"/>
    <w:qFormat/>
    <w:uiPriority w:val="0"/>
    <w:rPr>
      <w:bCs w:val="0"/>
    </w:rPr>
  </w:style>
  <w:style w:type="paragraph" w:customStyle="1" w:styleId="148">
    <w:name w:val="表文字"/>
    <w:basedOn w:val="1"/>
    <w:qFormat/>
    <w:uiPriority w:val="0"/>
    <w:pPr>
      <w:wordWrap w:val="0"/>
      <w:adjustRightInd w:val="0"/>
      <w:snapToGrid w:val="0"/>
      <w:spacing w:line="360" w:lineRule="auto"/>
      <w:jc w:val="center"/>
    </w:pPr>
    <w:rPr>
      <w:kern w:val="0"/>
      <w:sz w:val="24"/>
    </w:rPr>
  </w:style>
  <w:style w:type="paragraph" w:customStyle="1" w:styleId="149">
    <w:name w:val="样式 居中"/>
    <w:basedOn w:val="1"/>
    <w:qFormat/>
    <w:uiPriority w:val="0"/>
    <w:pPr>
      <w:jc w:val="center"/>
    </w:pPr>
    <w:rPr>
      <w:rFonts w:eastAsia="楷体_GB2312"/>
    </w:rPr>
  </w:style>
  <w:style w:type="character" w:customStyle="1" w:styleId="150">
    <w:name w:val="样式 居中 首行缩进:  2 字符 段后: 7.8 磅 Char"/>
    <w:basedOn w:val="49"/>
    <w:link w:val="77"/>
    <w:qFormat/>
    <w:uiPriority w:val="0"/>
    <w:rPr>
      <w:rFonts w:ascii="宋体" w:cs="宋体"/>
      <w:kern w:val="2"/>
      <w:sz w:val="24"/>
      <w:szCs w:val="24"/>
    </w:rPr>
  </w:style>
  <w:style w:type="paragraph" w:customStyle="1" w:styleId="151">
    <w:name w:val="xl30"/>
    <w:basedOn w:val="1"/>
    <w:qFormat/>
    <w:uiPriority w:val="0"/>
    <w:pPr>
      <w:widowControl/>
      <w:pBdr>
        <w:bottom w:val="double" w:color="auto" w:sz="6" w:space="0"/>
      </w:pBdr>
      <w:spacing w:before="100" w:beforeAutospacing="1" w:after="100" w:afterAutospacing="1"/>
      <w:jc w:val="center"/>
    </w:pPr>
    <w:rPr>
      <w:rFonts w:ascii="Arial Unicode MS" w:hAnsi="Arial Unicode MS" w:eastAsia="Arial Unicode MS"/>
      <w:spacing w:val="4"/>
      <w:kern w:val="0"/>
      <w:sz w:val="24"/>
      <w:szCs w:val="24"/>
    </w:rPr>
  </w:style>
  <w:style w:type="paragraph" w:customStyle="1" w:styleId="152">
    <w:name w:val="前言、引言标题"/>
    <w:next w:val="1"/>
    <w:qFormat/>
    <w:uiPriority w:val="0"/>
    <w:pPr>
      <w:numPr>
        <w:ilvl w:val="0"/>
        <w:numId w:val="9"/>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53">
    <w:name w:val="章标题"/>
    <w:next w:val="1"/>
    <w:qFormat/>
    <w:uiPriority w:val="0"/>
    <w:pPr>
      <w:numPr>
        <w:ilvl w:val="1"/>
        <w:numId w:val="9"/>
      </w:numPr>
      <w:spacing w:beforeLines="50" w:afterLines="50"/>
      <w:jc w:val="both"/>
      <w:outlineLvl w:val="1"/>
    </w:pPr>
    <w:rPr>
      <w:rFonts w:ascii="黑体" w:hAnsi="Times New Roman" w:eastAsia="黑体" w:cs="Times New Roman"/>
      <w:sz w:val="21"/>
      <w:lang w:val="en-US" w:eastAsia="zh-CN" w:bidi="ar-SA"/>
    </w:rPr>
  </w:style>
  <w:style w:type="paragraph" w:customStyle="1" w:styleId="154">
    <w:name w:val="一级条标题"/>
    <w:basedOn w:val="153"/>
    <w:next w:val="1"/>
    <w:qFormat/>
    <w:uiPriority w:val="0"/>
    <w:pPr>
      <w:numPr>
        <w:ilvl w:val="2"/>
      </w:numPr>
      <w:tabs>
        <w:tab w:val="left" w:pos="1680"/>
      </w:tabs>
      <w:spacing w:beforeLines="0" w:afterLines="0"/>
      <w:ind w:left="1680" w:hanging="360"/>
      <w:outlineLvl w:val="2"/>
    </w:pPr>
  </w:style>
  <w:style w:type="paragraph" w:customStyle="1" w:styleId="155">
    <w:name w:val="二级条标题"/>
    <w:basedOn w:val="154"/>
    <w:next w:val="1"/>
    <w:qFormat/>
    <w:uiPriority w:val="0"/>
    <w:pPr>
      <w:numPr>
        <w:ilvl w:val="3"/>
      </w:numPr>
      <w:tabs>
        <w:tab w:val="left" w:pos="2160"/>
      </w:tabs>
      <w:ind w:left="2160" w:hanging="420"/>
      <w:outlineLvl w:val="3"/>
    </w:pPr>
    <w:rPr>
      <w:rFonts w:hAnsi="宋体"/>
    </w:rPr>
  </w:style>
  <w:style w:type="paragraph" w:customStyle="1" w:styleId="156">
    <w:name w:val="三级条标题"/>
    <w:basedOn w:val="155"/>
    <w:next w:val="1"/>
    <w:qFormat/>
    <w:uiPriority w:val="0"/>
    <w:pPr>
      <w:numPr>
        <w:ilvl w:val="4"/>
      </w:numPr>
      <w:tabs>
        <w:tab w:val="left" w:pos="2580"/>
      </w:tabs>
      <w:ind w:left="2580" w:hanging="420"/>
      <w:outlineLvl w:val="4"/>
    </w:pPr>
  </w:style>
  <w:style w:type="paragraph" w:customStyle="1" w:styleId="157">
    <w:name w:val="四级条标题"/>
    <w:basedOn w:val="156"/>
    <w:next w:val="1"/>
    <w:qFormat/>
    <w:uiPriority w:val="0"/>
    <w:pPr>
      <w:numPr>
        <w:ilvl w:val="5"/>
      </w:numPr>
      <w:tabs>
        <w:tab w:val="left" w:pos="3000"/>
      </w:tabs>
      <w:ind w:left="3000" w:hanging="420"/>
      <w:outlineLvl w:val="5"/>
    </w:pPr>
  </w:style>
  <w:style w:type="paragraph" w:customStyle="1" w:styleId="158">
    <w:name w:val="五级条标题"/>
    <w:basedOn w:val="157"/>
    <w:next w:val="1"/>
    <w:qFormat/>
    <w:uiPriority w:val="0"/>
    <w:pPr>
      <w:numPr>
        <w:ilvl w:val="6"/>
      </w:numPr>
      <w:tabs>
        <w:tab w:val="left" w:pos="3420"/>
      </w:tabs>
      <w:ind w:left="3420" w:hanging="420"/>
      <w:outlineLvl w:val="6"/>
    </w:pPr>
  </w:style>
  <w:style w:type="paragraph" w:customStyle="1" w:styleId="159">
    <w:name w:val="样式 标题 4标题 4 Char（一） + 段后: 0.5 行"/>
    <w:basedOn w:val="5"/>
    <w:qFormat/>
    <w:uiPriority w:val="0"/>
    <w:pPr>
      <w:keepLines w:val="0"/>
      <w:widowControl w:val="0"/>
      <w:snapToGrid w:val="0"/>
      <w:spacing w:afterLines="50" w:line="500" w:lineRule="exact"/>
      <w:ind w:left="723" w:hanging="723" w:hangingChars="300"/>
    </w:pPr>
    <w:rPr>
      <w:rFonts w:eastAsia="楷体_GB2312"/>
    </w:rPr>
  </w:style>
  <w:style w:type="character" w:customStyle="1" w:styleId="160">
    <w:name w:val="段落标题 Char"/>
    <w:basedOn w:val="49"/>
    <w:qFormat/>
    <w:uiPriority w:val="0"/>
    <w:rPr>
      <w:rFonts w:ascii="宋体" w:hAnsi="宋体" w:eastAsia="宋体"/>
      <w:b/>
      <w:sz w:val="28"/>
      <w:lang w:val="en-US" w:eastAsia="zh-CN" w:bidi="ar-SA"/>
    </w:rPr>
  </w:style>
  <w:style w:type="paragraph" w:customStyle="1" w:styleId="161">
    <w:name w:val="内容"/>
    <w:basedOn w:val="1"/>
    <w:qFormat/>
    <w:uiPriority w:val="0"/>
    <w:pPr>
      <w:spacing w:line="360" w:lineRule="auto"/>
    </w:pPr>
    <w:rPr>
      <w:sz w:val="28"/>
    </w:rPr>
  </w:style>
  <w:style w:type="paragraph" w:customStyle="1" w:styleId="162">
    <w:name w:val="样式 标题 3 + 黑体 四号 非加粗 行距: 固定值 24 磅1"/>
    <w:basedOn w:val="4"/>
    <w:qFormat/>
    <w:uiPriority w:val="0"/>
    <w:pPr>
      <w:tabs>
        <w:tab w:val="left" w:pos="420"/>
      </w:tabs>
      <w:spacing w:afterLines="50" w:line="480" w:lineRule="exact"/>
      <w:ind w:left="420" w:hanging="420"/>
      <w:jc w:val="left"/>
    </w:pPr>
    <w:rPr>
      <w:rFonts w:ascii="黑体" w:hAnsi="宋体"/>
      <w:b w:val="0"/>
      <w:bCs w:val="0"/>
      <w:szCs w:val="20"/>
    </w:rPr>
  </w:style>
  <w:style w:type="character" w:customStyle="1" w:styleId="163">
    <w:name w:val="样式 正文首行缩进 2 Char Char Char"/>
    <w:basedOn w:val="49"/>
    <w:qFormat/>
    <w:uiPriority w:val="0"/>
    <w:rPr>
      <w:rFonts w:ascii="Arial" w:hAnsi="Arial" w:eastAsia="宋体" w:cs="宋体"/>
      <w:color w:val="000000"/>
      <w:kern w:val="2"/>
      <w:sz w:val="28"/>
      <w:szCs w:val="24"/>
      <w:lang w:val="en-US" w:eastAsia="zh-CN" w:bidi="ar-SA"/>
    </w:rPr>
  </w:style>
  <w:style w:type="paragraph" w:customStyle="1" w:styleId="164">
    <w:name w:val="样式 正文文本缩进 Char"/>
    <w:basedOn w:val="9"/>
    <w:link w:val="165"/>
    <w:qFormat/>
    <w:uiPriority w:val="0"/>
    <w:pPr>
      <w:spacing w:line="240" w:lineRule="auto"/>
      <w:ind w:firstLine="0"/>
      <w:jc w:val="center"/>
    </w:pPr>
    <w:rPr>
      <w:rFonts w:ascii="Arial" w:hAnsi="Arial" w:cs="宋体"/>
      <w:bCs/>
      <w:color w:val="000000"/>
      <w:spacing w:val="-12"/>
      <w:szCs w:val="21"/>
    </w:rPr>
  </w:style>
  <w:style w:type="character" w:customStyle="1" w:styleId="165">
    <w:name w:val="样式 正文文本缩进 Char Char"/>
    <w:basedOn w:val="49"/>
    <w:link w:val="164"/>
    <w:qFormat/>
    <w:uiPriority w:val="0"/>
    <w:rPr>
      <w:rFonts w:ascii="Arial" w:hAnsi="Arial" w:cs="宋体"/>
      <w:bCs/>
      <w:color w:val="000000"/>
      <w:spacing w:val="-12"/>
      <w:kern w:val="2"/>
      <w:sz w:val="24"/>
      <w:szCs w:val="21"/>
    </w:rPr>
  </w:style>
  <w:style w:type="paragraph" w:customStyle="1" w:styleId="166">
    <w:name w:val="样式 标题 51 Char Char Char Char Char标题 5 Char2标题 5 Char1 Char1标..."/>
    <w:basedOn w:val="6"/>
    <w:qFormat/>
    <w:uiPriority w:val="0"/>
    <w:pPr>
      <w:widowControl w:val="0"/>
      <w:tabs>
        <w:tab w:val="left" w:pos="992"/>
      </w:tabs>
      <w:snapToGrid/>
      <w:spacing w:afterLines="50" w:line="360" w:lineRule="auto"/>
      <w:ind w:left="992" w:hanging="992"/>
    </w:pPr>
    <w:rPr>
      <w:rFonts w:ascii="Arial" w:hAnsi="Arial" w:cs="宋体"/>
      <w:bCs w:val="0"/>
      <w:sz w:val="28"/>
      <w:szCs w:val="20"/>
    </w:rPr>
  </w:style>
  <w:style w:type="paragraph" w:customStyle="1" w:styleId="167">
    <w:name w:val="xl97"/>
    <w:basedOn w:val="1"/>
    <w:qFormat/>
    <w:uiPriority w:val="0"/>
    <w:pPr>
      <w:widowControl/>
      <w:pBdr>
        <w:left w:val="single" w:color="auto" w:sz="4" w:space="0"/>
        <w:bottom w:val="single" w:color="auto" w:sz="8" w:space="0"/>
        <w:right w:val="single" w:color="auto" w:sz="8" w:space="0"/>
      </w:pBdr>
      <w:spacing w:before="100" w:beforeAutospacing="1" w:after="100" w:afterAutospacing="1"/>
      <w:jc w:val="center"/>
      <w:textAlignment w:val="center"/>
    </w:pPr>
    <w:rPr>
      <w:rFonts w:ascii="宋体" w:hAnsi="宋体"/>
      <w:kern w:val="0"/>
      <w:sz w:val="24"/>
      <w:szCs w:val="24"/>
    </w:rPr>
  </w:style>
  <w:style w:type="paragraph" w:customStyle="1" w:styleId="168">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rPr>
  </w:style>
  <w:style w:type="paragraph" w:customStyle="1" w:styleId="169">
    <w:name w:val="样式4"/>
    <w:basedOn w:val="147"/>
    <w:qFormat/>
    <w:uiPriority w:val="0"/>
    <w:pPr>
      <w:tabs>
        <w:tab w:val="center" w:pos="4480"/>
        <w:tab w:val="right" w:pos="8640"/>
        <w:tab w:val="right" w:pos="8960"/>
      </w:tabs>
      <w:adjustRightInd/>
      <w:spacing w:line="480" w:lineRule="atLeast"/>
      <w:ind w:firstLine="0" w:firstLineChars="0"/>
      <w:textAlignment w:val="auto"/>
    </w:pPr>
    <w:rPr>
      <w:rFonts w:ascii="Times New Roman" w:eastAsia="宋体"/>
      <w:b/>
      <w:snapToGrid/>
      <w:kern w:val="2"/>
      <w:szCs w:val="28"/>
    </w:rPr>
  </w:style>
  <w:style w:type="paragraph" w:customStyle="1" w:styleId="170">
    <w:name w:val="编号(1)"/>
    <w:basedOn w:val="1"/>
    <w:qFormat/>
    <w:uiPriority w:val="0"/>
    <w:pPr>
      <w:tabs>
        <w:tab w:val="left" w:pos="425"/>
        <w:tab w:val="left" w:pos="1080"/>
      </w:tabs>
      <w:spacing w:line="480" w:lineRule="atLeast"/>
    </w:pPr>
    <w:rPr>
      <w:sz w:val="28"/>
      <w:szCs w:val="28"/>
    </w:rPr>
  </w:style>
  <w:style w:type="paragraph" w:customStyle="1" w:styleId="171">
    <w:name w:val="编号1."/>
    <w:basedOn w:val="1"/>
    <w:qFormat/>
    <w:uiPriority w:val="0"/>
    <w:pPr>
      <w:numPr>
        <w:ilvl w:val="0"/>
        <w:numId w:val="10"/>
      </w:numPr>
      <w:tabs>
        <w:tab w:val="left" w:pos="547"/>
      </w:tabs>
      <w:spacing w:line="480" w:lineRule="atLeast"/>
    </w:pPr>
    <w:rPr>
      <w:sz w:val="28"/>
      <w:szCs w:val="28"/>
    </w:rPr>
  </w:style>
  <w:style w:type="character" w:customStyle="1" w:styleId="172">
    <w:name w:val="标题 3 Char Char Char Char Char Char Char Char Char Char Char Char Char Char Char Char Char Char Char"/>
    <w:basedOn w:val="49"/>
    <w:qFormat/>
    <w:uiPriority w:val="0"/>
    <w:rPr>
      <w:rFonts w:eastAsia="宋体"/>
      <w:b/>
      <w:bCs/>
      <w:kern w:val="2"/>
      <w:sz w:val="32"/>
      <w:szCs w:val="32"/>
      <w:lang w:val="en-US" w:eastAsia="zh-CN" w:bidi="ar-SA"/>
    </w:rPr>
  </w:style>
  <w:style w:type="paragraph" w:customStyle="1" w:styleId="173">
    <w:name w:val="样式 宋体 居中 段前: 7.8 磅 段后: 15.6 磅"/>
    <w:basedOn w:val="1"/>
    <w:qFormat/>
    <w:uiPriority w:val="0"/>
    <w:pPr>
      <w:adjustRightInd w:val="0"/>
      <w:snapToGrid w:val="0"/>
      <w:spacing w:beforeLines="50" w:line="360" w:lineRule="auto"/>
      <w:jc w:val="center"/>
    </w:pPr>
    <w:rPr>
      <w:rFonts w:ascii="宋体" w:hAnsi="宋体"/>
    </w:rPr>
  </w:style>
  <w:style w:type="paragraph" w:customStyle="1" w:styleId="174">
    <w:name w:val="xl25"/>
    <w:basedOn w:val="1"/>
    <w:qFormat/>
    <w:uiPriority w:val="0"/>
    <w:pPr>
      <w:widowControl/>
      <w:spacing w:before="100" w:after="100"/>
      <w:jc w:val="center"/>
      <w:textAlignment w:val="center"/>
    </w:pPr>
    <w:rPr>
      <w:kern w:val="0"/>
      <w:sz w:val="24"/>
    </w:rPr>
  </w:style>
  <w:style w:type="paragraph" w:customStyle="1" w:styleId="175">
    <w:name w:val="表题"/>
    <w:basedOn w:val="1"/>
    <w:next w:val="1"/>
    <w:link w:val="176"/>
    <w:qFormat/>
    <w:uiPriority w:val="0"/>
    <w:pPr>
      <w:spacing w:beforeLines="50" w:line="540" w:lineRule="atLeast"/>
      <w:jc w:val="center"/>
    </w:pPr>
    <w:rPr>
      <w:kern w:val="0"/>
      <w:sz w:val="24"/>
      <w:szCs w:val="44"/>
    </w:rPr>
  </w:style>
  <w:style w:type="character" w:customStyle="1" w:styleId="176">
    <w:name w:val="表题 Char"/>
    <w:basedOn w:val="49"/>
    <w:link w:val="175"/>
    <w:qFormat/>
    <w:locked/>
    <w:uiPriority w:val="0"/>
    <w:rPr>
      <w:sz w:val="24"/>
      <w:szCs w:val="44"/>
    </w:rPr>
  </w:style>
  <w:style w:type="paragraph" w:customStyle="1" w:styleId="177">
    <w:name w:val="标准"/>
    <w:basedOn w:val="1"/>
    <w:qFormat/>
    <w:uiPriority w:val="0"/>
    <w:pPr>
      <w:adjustRightInd w:val="0"/>
      <w:spacing w:line="400" w:lineRule="atLeast"/>
      <w:textAlignment w:val="baseline"/>
    </w:pPr>
    <w:rPr>
      <w:b/>
      <w:kern w:val="0"/>
      <w:sz w:val="28"/>
    </w:rPr>
  </w:style>
  <w:style w:type="paragraph" w:customStyle="1" w:styleId="178">
    <w:name w:val="Char Char Char Char Char Char"/>
    <w:basedOn w:val="1"/>
    <w:qFormat/>
    <w:uiPriority w:val="0"/>
    <w:rPr>
      <w:szCs w:val="24"/>
    </w:rPr>
  </w:style>
  <w:style w:type="paragraph" w:customStyle="1" w:styleId="179">
    <w:name w:val="样式 标题 2 + 段前: 7.8 磅"/>
    <w:basedOn w:val="3"/>
    <w:qFormat/>
    <w:uiPriority w:val="0"/>
    <w:pPr>
      <w:keepNext w:val="0"/>
      <w:keepLines w:val="0"/>
      <w:spacing w:before="0" w:after="0" w:line="360" w:lineRule="auto"/>
      <w:ind w:left="240" w:hanging="240"/>
    </w:pPr>
    <w:rPr>
      <w:rFonts w:ascii="Times New Roman" w:hAnsi="Times New Roman" w:cs="宋体"/>
      <w:sz w:val="30"/>
      <w:szCs w:val="20"/>
    </w:rPr>
  </w:style>
  <w:style w:type="character" w:styleId="180">
    <w:name w:val="Placeholder Text"/>
    <w:basedOn w:val="49"/>
    <w:semiHidden/>
    <w:qFormat/>
    <w:uiPriority w:val="99"/>
    <w:rPr>
      <w:color w:val="808080"/>
    </w:rPr>
  </w:style>
  <w:style w:type="character" w:customStyle="1" w:styleId="181">
    <w:name w:val="页脚 字符"/>
    <w:basedOn w:val="49"/>
    <w:link w:val="30"/>
    <w:qFormat/>
    <w:uiPriority w:val="99"/>
    <w:rPr>
      <w:kern w:val="2"/>
      <w:sz w:val="18"/>
      <w:szCs w:val="18"/>
    </w:rPr>
  </w:style>
  <w:style w:type="character" w:customStyle="1" w:styleId="182">
    <w:name w:val="页眉 字符"/>
    <w:basedOn w:val="49"/>
    <w:link w:val="31"/>
    <w:qFormat/>
    <w:uiPriority w:val="99"/>
    <w:rPr>
      <w:kern w:val="2"/>
      <w:sz w:val="18"/>
      <w:szCs w:val="18"/>
    </w:rPr>
  </w:style>
  <w:style w:type="character" w:customStyle="1" w:styleId="183">
    <w:name w:val="正文文本缩进 2 字符"/>
    <w:basedOn w:val="49"/>
    <w:link w:val="28"/>
    <w:qFormat/>
    <w:uiPriority w:val="0"/>
    <w:rPr>
      <w:rFonts w:ascii="仿宋_GB2312" w:hAnsi="宋体" w:eastAsia="仿宋_GB2312"/>
      <w:color w:val="000000"/>
      <w:kern w:val="2"/>
      <w:sz w:val="24"/>
      <w:szCs w:val="24"/>
    </w:rPr>
  </w:style>
  <w:style w:type="character" w:customStyle="1" w:styleId="184">
    <w:name w:val="纯文本 字符"/>
    <w:basedOn w:val="49"/>
    <w:link w:val="25"/>
    <w:qFormat/>
    <w:uiPriority w:val="0"/>
    <w:rPr>
      <w:rFonts w:ascii="宋体" w:hAnsi="Courier New" w:cs="Courier New"/>
      <w:kern w:val="2"/>
      <w:sz w:val="21"/>
      <w:szCs w:val="21"/>
    </w:rPr>
  </w:style>
  <w:style w:type="paragraph" w:customStyle="1" w:styleId="185">
    <w:name w:val="font5"/>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186">
    <w:name w:val="font6"/>
    <w:basedOn w:val="1"/>
    <w:qFormat/>
    <w:uiPriority w:val="0"/>
    <w:pPr>
      <w:widowControl/>
      <w:spacing w:before="100" w:beforeAutospacing="1" w:after="100" w:afterAutospacing="1"/>
      <w:jc w:val="left"/>
    </w:pPr>
    <w:rPr>
      <w:kern w:val="0"/>
      <w:sz w:val="18"/>
      <w:szCs w:val="18"/>
    </w:rPr>
  </w:style>
  <w:style w:type="paragraph" w:customStyle="1" w:styleId="187">
    <w:name w:val="font7"/>
    <w:basedOn w:val="1"/>
    <w:qFormat/>
    <w:uiPriority w:val="0"/>
    <w:pPr>
      <w:widowControl/>
      <w:spacing w:before="100" w:beforeAutospacing="1" w:after="100" w:afterAutospacing="1"/>
      <w:jc w:val="left"/>
    </w:pPr>
    <w:rPr>
      <w:rFonts w:hint="eastAsia" w:ascii="仿宋_GB2312" w:hAnsi="宋体" w:eastAsia="仿宋_GB2312"/>
      <w:kern w:val="0"/>
      <w:sz w:val="18"/>
      <w:szCs w:val="18"/>
    </w:rPr>
  </w:style>
  <w:style w:type="paragraph" w:customStyle="1" w:styleId="188">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仿宋_GB2312" w:hAnsi="宋体" w:eastAsia="仿宋_GB2312"/>
      <w:kern w:val="0"/>
      <w:sz w:val="18"/>
      <w:szCs w:val="18"/>
    </w:rPr>
  </w:style>
  <w:style w:type="paragraph" w:customStyle="1" w:styleId="189">
    <w:name w:val="xl31"/>
    <w:basedOn w:val="1"/>
    <w:qFormat/>
    <w:uiPriority w:val="0"/>
    <w:pPr>
      <w:widowControl/>
      <w:pBdr>
        <w:top w:val="single" w:color="auto" w:sz="4" w:space="0"/>
        <w:bottom w:val="single" w:color="auto" w:sz="4" w:space="0"/>
      </w:pBdr>
      <w:spacing w:before="100" w:beforeAutospacing="1" w:after="100" w:afterAutospacing="1"/>
      <w:jc w:val="center"/>
    </w:pPr>
    <w:rPr>
      <w:kern w:val="0"/>
      <w:sz w:val="18"/>
      <w:szCs w:val="18"/>
    </w:rPr>
  </w:style>
  <w:style w:type="paragraph" w:customStyle="1" w:styleId="190">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1">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2">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3">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4">
    <w:name w:val="xl3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5">
    <w:name w:val="xl37"/>
    <w:basedOn w:val="1"/>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18"/>
      <w:szCs w:val="18"/>
    </w:rPr>
  </w:style>
  <w:style w:type="paragraph" w:customStyle="1" w:styleId="196">
    <w:name w:val="xl3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197">
    <w:name w:val="xl39"/>
    <w:basedOn w:val="1"/>
    <w:qFormat/>
    <w:uiPriority w:val="0"/>
    <w:pPr>
      <w:widowControl/>
      <w:pBdr>
        <w:top w:val="single" w:color="auto" w:sz="4" w:space="0"/>
        <w:bottom w:val="single" w:color="auto" w:sz="4" w:space="0"/>
      </w:pBdr>
      <w:spacing w:before="100" w:beforeAutospacing="1" w:after="100" w:afterAutospacing="1"/>
      <w:jc w:val="center"/>
    </w:pPr>
    <w:rPr>
      <w:kern w:val="0"/>
      <w:sz w:val="18"/>
      <w:szCs w:val="18"/>
    </w:rPr>
  </w:style>
  <w:style w:type="paragraph" w:customStyle="1" w:styleId="198">
    <w:name w:val="xl4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仿宋_GB2312" w:hAnsi="宋体" w:eastAsia="仿宋_GB2312"/>
      <w:kern w:val="0"/>
      <w:sz w:val="18"/>
      <w:szCs w:val="18"/>
    </w:rPr>
  </w:style>
  <w:style w:type="paragraph" w:customStyle="1" w:styleId="199">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szCs w:val="24"/>
    </w:rPr>
  </w:style>
  <w:style w:type="paragraph" w:customStyle="1" w:styleId="200">
    <w:name w:val="xl4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18"/>
      <w:szCs w:val="18"/>
    </w:rPr>
  </w:style>
  <w:style w:type="paragraph" w:customStyle="1" w:styleId="201">
    <w:name w:val="xl44"/>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szCs w:val="24"/>
    </w:rPr>
  </w:style>
  <w:style w:type="paragraph" w:customStyle="1" w:styleId="202">
    <w:name w:val="xl4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hint="eastAsia" w:ascii="仿宋_GB2312" w:hAnsi="宋体" w:eastAsia="仿宋_GB2312"/>
      <w:kern w:val="0"/>
      <w:sz w:val="18"/>
      <w:szCs w:val="18"/>
    </w:rPr>
  </w:style>
  <w:style w:type="paragraph" w:customStyle="1" w:styleId="203">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hint="eastAsia" w:ascii="仿宋_GB2312" w:hAnsi="宋体" w:eastAsia="仿宋_GB2312"/>
      <w:kern w:val="0"/>
      <w:sz w:val="18"/>
      <w:szCs w:val="18"/>
    </w:rPr>
  </w:style>
  <w:style w:type="paragraph" w:customStyle="1" w:styleId="204">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4"/>
      <w:szCs w:val="24"/>
    </w:rPr>
  </w:style>
  <w:style w:type="paragraph" w:customStyle="1" w:styleId="205">
    <w:name w:val="xl48"/>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18"/>
      <w:szCs w:val="18"/>
    </w:rPr>
  </w:style>
  <w:style w:type="paragraph" w:customStyle="1" w:styleId="206">
    <w:name w:val="xl49"/>
    <w:basedOn w:val="1"/>
    <w:qFormat/>
    <w:uiPriority w:val="0"/>
    <w:pPr>
      <w:widowControl/>
      <w:pBdr>
        <w:top w:val="single" w:color="auto" w:sz="4" w:space="0"/>
        <w:bottom w:val="single" w:color="auto" w:sz="4" w:space="0"/>
      </w:pBdr>
      <w:spacing w:before="100" w:beforeAutospacing="1" w:after="100" w:afterAutospacing="1"/>
      <w:jc w:val="center"/>
    </w:pPr>
    <w:rPr>
      <w:kern w:val="0"/>
      <w:sz w:val="18"/>
      <w:szCs w:val="18"/>
    </w:rPr>
  </w:style>
  <w:style w:type="paragraph" w:customStyle="1" w:styleId="207">
    <w:name w:val="xl50"/>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08">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4"/>
      <w:szCs w:val="24"/>
    </w:rPr>
  </w:style>
  <w:style w:type="paragraph" w:customStyle="1" w:styleId="209">
    <w:name w:val="xl52"/>
    <w:basedOn w:val="1"/>
    <w:qFormat/>
    <w:uiPriority w:val="0"/>
    <w:pPr>
      <w:widowControl/>
      <w:pBdr>
        <w:top w:val="single" w:color="auto" w:sz="4" w:space="0"/>
        <w:bottom w:val="single" w:color="auto" w:sz="4" w:space="0"/>
      </w:pBdr>
      <w:spacing w:before="100" w:beforeAutospacing="1" w:after="100" w:afterAutospacing="1"/>
      <w:jc w:val="center"/>
    </w:pPr>
    <w:rPr>
      <w:rFonts w:hint="eastAsia" w:ascii="仿宋_GB2312" w:hAnsi="宋体" w:eastAsia="仿宋_GB2312"/>
      <w:kern w:val="0"/>
      <w:sz w:val="18"/>
      <w:szCs w:val="18"/>
    </w:rPr>
  </w:style>
  <w:style w:type="paragraph" w:customStyle="1" w:styleId="210">
    <w:name w:val="xl53"/>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4"/>
      <w:szCs w:val="24"/>
    </w:rPr>
  </w:style>
  <w:style w:type="paragraph" w:customStyle="1" w:styleId="211">
    <w:name w:val="xl5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kern w:val="0"/>
      <w:sz w:val="24"/>
      <w:szCs w:val="24"/>
    </w:rPr>
  </w:style>
  <w:style w:type="paragraph" w:customStyle="1" w:styleId="212">
    <w:name w:val="xl5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13">
    <w:name w:val="xl5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1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4"/>
      <w:szCs w:val="24"/>
    </w:rPr>
  </w:style>
  <w:style w:type="paragraph" w:customStyle="1" w:styleId="215">
    <w:name w:val="xl5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kern w:val="0"/>
      <w:sz w:val="18"/>
      <w:szCs w:val="18"/>
    </w:rPr>
  </w:style>
  <w:style w:type="paragraph" w:customStyle="1" w:styleId="216">
    <w:name w:val="xl59"/>
    <w:basedOn w:val="1"/>
    <w:qFormat/>
    <w:uiPriority w:val="0"/>
    <w:pPr>
      <w:widowControl/>
      <w:pBdr>
        <w:left w:val="single" w:color="auto" w:sz="4" w:space="0"/>
        <w:right w:val="single" w:color="auto" w:sz="4" w:space="0"/>
      </w:pBdr>
      <w:spacing w:before="100" w:beforeAutospacing="1" w:after="100" w:afterAutospacing="1"/>
      <w:jc w:val="center"/>
    </w:pPr>
    <w:rPr>
      <w:kern w:val="0"/>
      <w:sz w:val="18"/>
      <w:szCs w:val="18"/>
    </w:rPr>
  </w:style>
  <w:style w:type="paragraph" w:customStyle="1" w:styleId="217">
    <w:name w:val="xl6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18">
    <w:name w:val="xl61"/>
    <w:basedOn w:val="1"/>
    <w:qFormat/>
    <w:uiPriority w:val="0"/>
    <w:pPr>
      <w:widowControl/>
      <w:pBdr>
        <w:top w:val="single" w:color="auto" w:sz="4" w:space="0"/>
        <w:bottom w:val="single" w:color="auto" w:sz="4" w:space="0"/>
      </w:pBdr>
      <w:spacing w:before="100" w:beforeAutospacing="1" w:after="100" w:afterAutospacing="1"/>
      <w:jc w:val="left"/>
    </w:pPr>
    <w:rPr>
      <w:kern w:val="0"/>
      <w:sz w:val="24"/>
      <w:szCs w:val="24"/>
    </w:rPr>
  </w:style>
  <w:style w:type="paragraph" w:customStyle="1" w:styleId="219">
    <w:name w:val="font8"/>
    <w:basedOn w:val="1"/>
    <w:qFormat/>
    <w:uiPriority w:val="0"/>
    <w:pPr>
      <w:widowControl/>
      <w:spacing w:before="100" w:beforeAutospacing="1" w:after="100" w:afterAutospacing="1"/>
      <w:jc w:val="left"/>
    </w:pPr>
    <w:rPr>
      <w:rFonts w:hint="eastAsia" w:ascii="宋体" w:hAnsi="宋体"/>
      <w:kern w:val="0"/>
      <w:sz w:val="16"/>
      <w:szCs w:val="16"/>
    </w:rPr>
  </w:style>
  <w:style w:type="character" w:customStyle="1" w:styleId="220">
    <w:name w:val="font-family1"/>
    <w:basedOn w:val="49"/>
    <w:qFormat/>
    <w:uiPriority w:val="0"/>
    <w:rPr>
      <w:sz w:val="20"/>
      <w:szCs w:val="20"/>
    </w:rPr>
  </w:style>
  <w:style w:type="paragraph" w:customStyle="1" w:styleId="221">
    <w:name w:val="xl24"/>
    <w:basedOn w:val="1"/>
    <w:qFormat/>
    <w:uiPriority w:val="0"/>
    <w:pPr>
      <w:widowControl/>
      <w:pBdr>
        <w:top w:val="single" w:color="auto" w:sz="8"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3">
    <w:name w:val="xl27"/>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4">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5">
    <w:name w:val="xl62"/>
    <w:basedOn w:val="1"/>
    <w:qFormat/>
    <w:uiPriority w:val="0"/>
    <w:pPr>
      <w:widowControl/>
      <w:pBdr>
        <w:left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4"/>
      <w:szCs w:val="24"/>
    </w:rPr>
  </w:style>
  <w:style w:type="paragraph" w:customStyle="1" w:styleId="226">
    <w:name w:val="xl63"/>
    <w:basedOn w:val="1"/>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4"/>
      <w:szCs w:val="24"/>
    </w:rPr>
  </w:style>
  <w:style w:type="paragraph" w:customStyle="1" w:styleId="227">
    <w:name w:val="xl64"/>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8">
    <w:name w:val="xl65"/>
    <w:basedOn w:val="1"/>
    <w:qFormat/>
    <w:uiPriority w:val="0"/>
    <w:pPr>
      <w:widowControl/>
      <w:pBdr>
        <w:top w:val="single" w:color="auto" w:sz="4" w:space="0"/>
        <w:left w:val="single" w:color="auto" w:sz="4" w:space="0"/>
        <w:bottom w:val="single" w:color="auto" w:sz="8"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29">
    <w:name w:val="xl66"/>
    <w:basedOn w:val="1"/>
    <w:uiPriority w:val="0"/>
    <w:pPr>
      <w:widowControl/>
      <w:pBdr>
        <w:top w:val="single" w:color="auto" w:sz="4" w:space="0"/>
        <w:left w:val="single" w:color="auto" w:sz="4" w:space="0"/>
        <w:bottom w:val="single" w:color="auto" w:sz="8"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0">
    <w:name w:val="xl67"/>
    <w:basedOn w:val="1"/>
    <w:qFormat/>
    <w:uiPriority w:val="0"/>
    <w:pPr>
      <w:widowControl/>
      <w:pBdr>
        <w:top w:val="single" w:color="auto" w:sz="4" w:space="0"/>
        <w:bottom w:val="single" w:color="auto" w:sz="8" w:space="0"/>
      </w:pBdr>
      <w:shd w:val="clear" w:color="auto" w:fill="FFFFFF"/>
      <w:spacing w:before="100" w:beforeAutospacing="1" w:after="100" w:afterAutospacing="1"/>
      <w:jc w:val="center"/>
      <w:textAlignment w:val="center"/>
    </w:pPr>
    <w:rPr>
      <w:rFonts w:eastAsia="Arial Unicode MS"/>
      <w:kern w:val="0"/>
      <w:sz w:val="22"/>
      <w:szCs w:val="22"/>
    </w:rPr>
  </w:style>
  <w:style w:type="paragraph" w:customStyle="1" w:styleId="231">
    <w:name w:val="xl68"/>
    <w:basedOn w:val="1"/>
    <w:qFormat/>
    <w:uiPriority w:val="0"/>
    <w:pPr>
      <w:widowControl/>
      <w:pBdr>
        <w:top w:val="single" w:color="auto" w:sz="4" w:space="0"/>
        <w:bottom w:val="single" w:color="auto" w:sz="8"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2">
    <w:name w:val="xl69"/>
    <w:basedOn w:val="1"/>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3">
    <w:name w:val="xl70"/>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4">
    <w:name w:val="xl71"/>
    <w:basedOn w:val="1"/>
    <w:qFormat/>
    <w:uiPriority w:val="0"/>
    <w:pPr>
      <w:widowControl/>
      <w:pBdr>
        <w:top w:val="single" w:color="auto" w:sz="4" w:space="0"/>
        <w:left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5">
    <w:name w:val="xl72"/>
    <w:basedOn w:val="1"/>
    <w:qFormat/>
    <w:uiPriority w:val="0"/>
    <w:pPr>
      <w:widowControl/>
      <w:pBdr>
        <w:left w:val="single" w:color="auto" w:sz="4" w:space="0"/>
        <w:right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6">
    <w:name w:val="xl73"/>
    <w:basedOn w:val="1"/>
    <w:qFormat/>
    <w:uiPriority w:val="0"/>
    <w:pPr>
      <w:widowControl/>
      <w:pBdr>
        <w:top w:val="single" w:color="auto" w:sz="4" w:space="0"/>
        <w:left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7">
    <w:name w:val="xl74"/>
    <w:basedOn w:val="1"/>
    <w:qFormat/>
    <w:uiPriority w:val="0"/>
    <w:pPr>
      <w:widowControl/>
      <w:pBdr>
        <w:top w:val="single" w:color="auto" w:sz="4" w:space="0"/>
      </w:pBdr>
      <w:shd w:val="clear" w:color="auto" w:fill="FFFFFF"/>
      <w:spacing w:before="100" w:beforeAutospacing="1" w:after="100" w:afterAutospacing="1"/>
      <w:jc w:val="center"/>
      <w:textAlignment w:val="center"/>
    </w:pPr>
    <w:rPr>
      <w:rFonts w:eastAsia="Arial Unicode MS"/>
      <w:kern w:val="0"/>
      <w:sz w:val="22"/>
      <w:szCs w:val="22"/>
    </w:rPr>
  </w:style>
  <w:style w:type="paragraph" w:customStyle="1" w:styleId="238">
    <w:name w:val="xl75"/>
    <w:basedOn w:val="1"/>
    <w:qFormat/>
    <w:uiPriority w:val="0"/>
    <w:pPr>
      <w:widowControl/>
      <w:pBdr>
        <w:top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39">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40">
    <w:name w:val="xl77"/>
    <w:basedOn w:val="1"/>
    <w:qFormat/>
    <w:uiPriority w:val="0"/>
    <w:pPr>
      <w:widowControl/>
      <w:pBdr>
        <w:top w:val="single" w:color="auto" w:sz="4" w:space="0"/>
        <w:left w:val="single" w:color="auto" w:sz="4" w:space="0"/>
        <w:right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41">
    <w:name w:val="xl78"/>
    <w:basedOn w:val="1"/>
    <w:qFormat/>
    <w:uiPriority w:val="0"/>
    <w:pPr>
      <w:widowControl/>
      <w:pBdr>
        <w:top w:val="single" w:color="auto" w:sz="4" w:space="0"/>
        <w:left w:val="single" w:color="auto" w:sz="8" w:space="0"/>
        <w:bottom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42">
    <w:name w:val="xl79"/>
    <w:basedOn w:val="1"/>
    <w:qFormat/>
    <w:uiPriority w:val="0"/>
    <w:pPr>
      <w:widowControl/>
      <w:pBdr>
        <w:top w:val="single" w:color="auto" w:sz="4" w:space="0"/>
        <w:left w:val="single" w:color="auto" w:sz="8" w:space="0"/>
        <w:bottom w:val="single" w:color="auto" w:sz="4" w:space="0"/>
      </w:pBdr>
      <w:shd w:val="clear" w:color="auto" w:fill="FFFFFF"/>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43">
    <w:name w:val="xl80"/>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4"/>
      <w:szCs w:val="24"/>
    </w:rPr>
  </w:style>
  <w:style w:type="paragraph" w:customStyle="1" w:styleId="244">
    <w:name w:val="xl81"/>
    <w:basedOn w:val="1"/>
    <w:qFormat/>
    <w:uiPriority w:val="0"/>
    <w:pPr>
      <w:widowControl/>
      <w:pBdr>
        <w:top w:val="single" w:color="auto" w:sz="4" w:space="0"/>
        <w:bottom w:val="single" w:color="auto" w:sz="4" w:space="0"/>
        <w:right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4"/>
      <w:szCs w:val="24"/>
    </w:rPr>
  </w:style>
  <w:style w:type="paragraph" w:customStyle="1" w:styleId="245">
    <w:name w:val="xl8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4"/>
      <w:szCs w:val="24"/>
    </w:rPr>
  </w:style>
  <w:style w:type="paragraph" w:customStyle="1" w:styleId="246">
    <w:name w:val="font9"/>
    <w:basedOn w:val="1"/>
    <w:qFormat/>
    <w:uiPriority w:val="0"/>
    <w:pPr>
      <w:widowControl/>
      <w:spacing w:before="100" w:beforeAutospacing="1" w:after="100" w:afterAutospacing="1"/>
      <w:jc w:val="left"/>
    </w:pPr>
    <w:rPr>
      <w:rFonts w:eastAsia="Arial Unicode MS"/>
      <w:kern w:val="0"/>
      <w:sz w:val="22"/>
      <w:szCs w:val="22"/>
    </w:rPr>
  </w:style>
  <w:style w:type="paragraph" w:customStyle="1" w:styleId="247">
    <w:name w:val="font10"/>
    <w:basedOn w:val="1"/>
    <w:qFormat/>
    <w:uiPriority w:val="0"/>
    <w:pPr>
      <w:widowControl/>
      <w:spacing w:before="100" w:beforeAutospacing="1" w:after="100" w:afterAutospacing="1"/>
      <w:jc w:val="left"/>
    </w:pPr>
    <w:rPr>
      <w:rFonts w:eastAsia="Arial Unicode MS"/>
      <w:kern w:val="0"/>
      <w:sz w:val="20"/>
    </w:rPr>
  </w:style>
  <w:style w:type="paragraph" w:customStyle="1" w:styleId="248">
    <w:name w:val="xl83"/>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Arial Unicode MS" w:hAnsi="Arial Unicode MS" w:eastAsia="Arial Unicode MS" w:cs="Arial Unicode MS"/>
      <w:kern w:val="0"/>
      <w:sz w:val="20"/>
    </w:rPr>
  </w:style>
  <w:style w:type="paragraph" w:customStyle="1" w:styleId="249">
    <w:name w:val="xl84"/>
    <w:basedOn w:val="1"/>
    <w:qFormat/>
    <w:uiPriority w:val="0"/>
    <w:pPr>
      <w:widowControl/>
      <w:pBdr>
        <w:top w:val="single" w:color="auto" w:sz="4" w:space="0"/>
        <w:bottom w:val="single" w:color="auto" w:sz="4" w:space="0"/>
        <w:right w:val="single" w:color="auto" w:sz="4" w:space="0"/>
      </w:pBdr>
      <w:spacing w:before="100" w:beforeAutospacing="1" w:after="100" w:afterAutospacing="1"/>
      <w:jc w:val="right"/>
      <w:textAlignment w:val="top"/>
    </w:pPr>
    <w:rPr>
      <w:rFonts w:ascii="Arial Unicode MS" w:hAnsi="Arial Unicode MS" w:eastAsia="Arial Unicode MS" w:cs="Arial Unicode MS"/>
      <w:kern w:val="0"/>
      <w:sz w:val="20"/>
    </w:rPr>
  </w:style>
  <w:style w:type="paragraph" w:customStyle="1" w:styleId="250">
    <w:name w:val="xl85"/>
    <w:basedOn w:val="1"/>
    <w:qFormat/>
    <w:uiPriority w:val="0"/>
    <w:pPr>
      <w:widowControl/>
      <w:pBdr>
        <w:top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Arial Unicode MS" w:cs="Arial Unicode MS"/>
      <w:kern w:val="0"/>
      <w:sz w:val="20"/>
    </w:rPr>
  </w:style>
  <w:style w:type="paragraph" w:customStyle="1" w:styleId="25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cs="Arial Unicode MS"/>
      <w:kern w:val="0"/>
      <w:sz w:val="20"/>
    </w:rPr>
  </w:style>
  <w:style w:type="paragraph" w:customStyle="1" w:styleId="252">
    <w:name w:val="xl87"/>
    <w:basedOn w:val="1"/>
    <w:qFormat/>
    <w:uiPriority w:val="0"/>
    <w:pPr>
      <w:widowControl/>
      <w:pBdr>
        <w:top w:val="single" w:color="auto" w:sz="4" w:space="0"/>
        <w:bottom w:val="single" w:color="auto" w:sz="4" w:space="0"/>
      </w:pBdr>
      <w:spacing w:before="100" w:beforeAutospacing="1" w:after="100" w:afterAutospacing="1"/>
      <w:jc w:val="center"/>
    </w:pPr>
    <w:rPr>
      <w:rFonts w:ascii="Arial Unicode MS" w:hAnsi="Arial Unicode MS" w:eastAsia="Arial Unicode MS" w:cs="Arial Unicode MS"/>
      <w:kern w:val="0"/>
      <w:sz w:val="24"/>
      <w:szCs w:val="24"/>
    </w:rPr>
  </w:style>
  <w:style w:type="paragraph" w:customStyle="1" w:styleId="253">
    <w:name w:val="xl88"/>
    <w:basedOn w:val="1"/>
    <w:qFormat/>
    <w:uiPriority w:val="0"/>
    <w:pPr>
      <w:widowControl/>
      <w:pBdr>
        <w:top w:val="single" w:color="auto" w:sz="4" w:space="0"/>
        <w:bottom w:val="single" w:color="auto" w:sz="4" w:space="0"/>
      </w:pBdr>
      <w:spacing w:before="100" w:beforeAutospacing="1" w:after="100" w:afterAutospacing="1"/>
      <w:jc w:val="center"/>
      <w:textAlignment w:val="top"/>
    </w:pPr>
    <w:rPr>
      <w:rFonts w:ascii="Arial Unicode MS" w:hAnsi="Arial Unicode MS" w:eastAsia="Arial Unicode MS" w:cs="Arial Unicode MS"/>
      <w:kern w:val="0"/>
      <w:sz w:val="20"/>
    </w:rPr>
  </w:style>
  <w:style w:type="paragraph" w:customStyle="1" w:styleId="254">
    <w:name w:val="xl8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top"/>
    </w:pPr>
    <w:rPr>
      <w:rFonts w:ascii="Arial Unicode MS" w:hAnsi="Arial Unicode MS" w:eastAsia="Arial Unicode MS" w:cs="Arial Unicode MS"/>
      <w:kern w:val="0"/>
      <w:sz w:val="24"/>
      <w:szCs w:val="24"/>
    </w:rPr>
  </w:style>
  <w:style w:type="paragraph" w:customStyle="1" w:styleId="255">
    <w:name w:val="xl90"/>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textAlignment w:val="top"/>
    </w:pPr>
    <w:rPr>
      <w:rFonts w:ascii="Arial Unicode MS" w:hAnsi="Arial Unicode MS" w:eastAsia="Arial Unicode MS" w:cs="Arial Unicode MS"/>
      <w:kern w:val="0"/>
      <w:sz w:val="20"/>
    </w:rPr>
  </w:style>
  <w:style w:type="paragraph" w:customStyle="1" w:styleId="256">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right"/>
      <w:textAlignment w:val="top"/>
    </w:pPr>
    <w:rPr>
      <w:rFonts w:ascii="Arial Unicode MS" w:hAnsi="Arial Unicode MS" w:eastAsia="Arial Unicode MS" w:cs="Arial Unicode MS"/>
      <w:kern w:val="0"/>
      <w:sz w:val="20"/>
    </w:rPr>
  </w:style>
  <w:style w:type="paragraph" w:customStyle="1" w:styleId="257">
    <w:name w:val="xl92"/>
    <w:basedOn w:val="1"/>
    <w:qFormat/>
    <w:uiPriority w:val="0"/>
    <w:pPr>
      <w:widowControl/>
      <w:pBdr>
        <w:top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Arial Unicode MS" w:cs="Arial Unicode MS"/>
      <w:kern w:val="0"/>
      <w:sz w:val="20"/>
    </w:rPr>
  </w:style>
  <w:style w:type="paragraph" w:customStyle="1" w:styleId="258">
    <w:name w:val="xl93"/>
    <w:basedOn w:val="1"/>
    <w:qFormat/>
    <w:uiPriority w:val="0"/>
    <w:pPr>
      <w:widowControl/>
      <w:pBdr>
        <w:top w:val="single" w:color="auto" w:sz="4" w:space="0"/>
        <w:left w:val="single" w:color="auto" w:sz="4" w:space="0"/>
        <w:bottom w:val="single" w:color="auto" w:sz="8" w:space="0"/>
      </w:pBdr>
      <w:spacing w:before="100" w:beforeAutospacing="1" w:after="100" w:afterAutospacing="1"/>
      <w:jc w:val="left"/>
      <w:textAlignment w:val="top"/>
    </w:pPr>
    <w:rPr>
      <w:rFonts w:ascii="Arial Unicode MS" w:hAnsi="Arial Unicode MS" w:eastAsia="Arial Unicode MS" w:cs="Arial Unicode MS"/>
      <w:kern w:val="0"/>
      <w:sz w:val="20"/>
    </w:rPr>
  </w:style>
  <w:style w:type="paragraph" w:customStyle="1" w:styleId="259">
    <w:name w:val="xl94"/>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2"/>
      <w:szCs w:val="22"/>
    </w:rPr>
  </w:style>
  <w:style w:type="paragraph" w:customStyle="1" w:styleId="260">
    <w:name w:val="xl95"/>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sz w:val="20"/>
    </w:rPr>
  </w:style>
  <w:style w:type="paragraph" w:customStyle="1" w:styleId="261">
    <w:name w:val="Char Char Char"/>
    <w:basedOn w:val="1"/>
    <w:qFormat/>
    <w:uiPriority w:val="0"/>
    <w:rPr>
      <w:szCs w:val="24"/>
    </w:rPr>
  </w:style>
  <w:style w:type="paragraph" w:customStyle="1" w:styleId="262">
    <w:name w:val="zh正文"/>
    <w:basedOn w:val="1"/>
    <w:qFormat/>
    <w:uiPriority w:val="0"/>
    <w:pPr>
      <w:spacing w:line="360" w:lineRule="exact"/>
      <w:ind w:firstLine="560" w:firstLineChars="200"/>
    </w:pPr>
    <w:rPr>
      <w:rFonts w:ascii="宋体" w:hAnsi="宋体"/>
      <w:sz w:val="28"/>
    </w:rPr>
  </w:style>
  <w:style w:type="paragraph" w:customStyle="1" w:styleId="263">
    <w:name w:val="1 Char Char Char Char Char Char Char"/>
    <w:basedOn w:val="1"/>
    <w:uiPriority w:val="0"/>
    <w:rPr>
      <w:szCs w:val="24"/>
    </w:rPr>
  </w:style>
  <w:style w:type="paragraph" w:customStyle="1" w:styleId="264">
    <w:name w:val="Char Char Char Char Char Char2 Char"/>
    <w:basedOn w:val="1"/>
    <w:qFormat/>
    <w:uiPriority w:val="0"/>
    <w:pPr>
      <w:spacing w:line="360" w:lineRule="auto"/>
      <w:ind w:firstLine="200" w:firstLineChars="200"/>
    </w:pPr>
    <w:rPr>
      <w:rFonts w:ascii="宋体" w:hAnsi="宋体" w:cs="宋体"/>
      <w:sz w:val="24"/>
      <w:szCs w:val="24"/>
    </w:rPr>
  </w:style>
  <w:style w:type="character" w:customStyle="1" w:styleId="265">
    <w:name w:val="tpc_content1"/>
    <w:basedOn w:val="49"/>
    <w:qFormat/>
    <w:uiPriority w:val="0"/>
    <w:rPr>
      <w:sz w:val="18"/>
      <w:szCs w:val="18"/>
    </w:rPr>
  </w:style>
  <w:style w:type="paragraph" w:customStyle="1" w:styleId="266">
    <w:name w:val="w2"/>
    <w:basedOn w:val="1"/>
    <w:qFormat/>
    <w:uiPriority w:val="0"/>
    <w:pPr>
      <w:spacing w:line="360" w:lineRule="auto"/>
    </w:pPr>
    <w:rPr>
      <w:rFonts w:ascii="宋体" w:hAnsi="宋体"/>
      <w:b/>
      <w:bCs/>
      <w:color w:val="000080"/>
      <w:sz w:val="24"/>
      <w:szCs w:val="24"/>
    </w:rPr>
  </w:style>
  <w:style w:type="paragraph" w:customStyle="1" w:styleId="267">
    <w:name w:val="222"/>
    <w:basedOn w:val="1"/>
    <w:qFormat/>
    <w:uiPriority w:val="0"/>
    <w:pPr>
      <w:tabs>
        <w:tab w:val="left" w:pos="426"/>
      </w:tabs>
      <w:adjustRightInd w:val="0"/>
      <w:snapToGrid w:val="0"/>
      <w:spacing w:line="360" w:lineRule="auto"/>
      <w:ind w:firstLine="363" w:firstLineChars="129"/>
    </w:pPr>
    <w:rPr>
      <w:rFonts w:eastAsia="仿宋_GB2312"/>
      <w:b/>
      <w:color w:val="002060"/>
      <w:sz w:val="28"/>
      <w:szCs w:val="28"/>
    </w:rPr>
  </w:style>
  <w:style w:type="paragraph" w:customStyle="1" w:styleId="268">
    <w:name w:val="表格标题"/>
    <w:basedOn w:val="1"/>
    <w:qFormat/>
    <w:uiPriority w:val="0"/>
    <w:pPr>
      <w:spacing w:beforeLines="50" w:line="460" w:lineRule="exact"/>
      <w:ind w:firstLine="200" w:firstLineChars="200"/>
      <w:jc w:val="center"/>
    </w:pPr>
    <w:rPr>
      <w:rFonts w:ascii="黑体" w:hAnsi="Batang" w:eastAsia="黑体"/>
      <w:sz w:val="24"/>
    </w:rPr>
  </w:style>
  <w:style w:type="paragraph" w:customStyle="1" w:styleId="269">
    <w:name w:val="1 Char"/>
    <w:basedOn w:val="1"/>
    <w:qFormat/>
    <w:uiPriority w:val="0"/>
    <w:rPr>
      <w:szCs w:val="24"/>
    </w:rPr>
  </w:style>
  <w:style w:type="paragraph" w:customStyle="1" w:styleId="270">
    <w:name w:val="正文2 Char Char Char Char Char Char Char Char Char Char Char Char1 Char Char Char Char Char Char Char Char1 Char Char Char Char Char Char"/>
    <w:basedOn w:val="1"/>
    <w:qFormat/>
    <w:uiPriority w:val="0"/>
    <w:pPr>
      <w:widowControl/>
      <w:spacing w:line="400" w:lineRule="exact"/>
      <w:jc w:val="center"/>
    </w:pPr>
    <w:rPr>
      <w:rFonts w:ascii="Verdana" w:hAnsi="Verdana"/>
      <w:kern w:val="0"/>
      <w:lang w:eastAsia="en-US"/>
    </w:rPr>
  </w:style>
  <w:style w:type="paragraph" w:customStyle="1" w:styleId="271">
    <w:name w:val="！正文"/>
    <w:basedOn w:val="1"/>
    <w:link w:val="272"/>
    <w:qFormat/>
    <w:uiPriority w:val="0"/>
    <w:pPr>
      <w:spacing w:line="360" w:lineRule="auto"/>
      <w:ind w:firstLine="480" w:firstLineChars="200"/>
    </w:pPr>
    <w:rPr>
      <w:rFonts w:ascii="Arial" w:hAnsi="Arial" w:cs="宋体"/>
      <w:sz w:val="24"/>
      <w:szCs w:val="24"/>
    </w:rPr>
  </w:style>
  <w:style w:type="character" w:customStyle="1" w:styleId="272">
    <w:name w:val="！正文 Char1"/>
    <w:basedOn w:val="49"/>
    <w:link w:val="271"/>
    <w:uiPriority w:val="0"/>
    <w:rPr>
      <w:rFonts w:ascii="Arial" w:hAnsi="Arial" w:cs="宋体"/>
      <w:kern w:val="2"/>
      <w:sz w:val="24"/>
      <w:szCs w:val="24"/>
    </w:rPr>
  </w:style>
  <w:style w:type="character" w:customStyle="1" w:styleId="273">
    <w:name w:val="标题 2 Char1"/>
    <w:basedOn w:val="49"/>
    <w:semiHidden/>
    <w:qFormat/>
    <w:uiPriority w:val="9"/>
    <w:rPr>
      <w:rFonts w:ascii="Cambria" w:hAnsi="Cambria" w:eastAsia="宋体" w:cs="Times New Roman"/>
      <w:b/>
      <w:bCs/>
      <w:kern w:val="2"/>
      <w:sz w:val="32"/>
      <w:szCs w:val="32"/>
    </w:rPr>
  </w:style>
  <w:style w:type="character" w:customStyle="1" w:styleId="274">
    <w:name w:val="正文文本缩进 3 字符"/>
    <w:basedOn w:val="49"/>
    <w:link w:val="37"/>
    <w:qFormat/>
    <w:uiPriority w:val="0"/>
    <w:rPr>
      <w:rFonts w:ascii="仿宋_GB2312" w:hAnsi="宋体" w:eastAsia="仿宋_GB2312"/>
      <w:color w:val="000000"/>
      <w:kern w:val="2"/>
      <w:sz w:val="24"/>
      <w:szCs w:val="24"/>
    </w:rPr>
  </w:style>
  <w:style w:type="character" w:customStyle="1" w:styleId="275">
    <w:name w:val="正文文本 3 字符"/>
    <w:basedOn w:val="49"/>
    <w:link w:val="19"/>
    <w:qFormat/>
    <w:uiPriority w:val="0"/>
    <w:rPr>
      <w:rFonts w:ascii="宋体"/>
      <w:color w:val="000000"/>
      <w:sz w:val="24"/>
      <w:lang w:eastAsia="en-US" w:bidi="en-US"/>
    </w:rPr>
  </w:style>
  <w:style w:type="character" w:customStyle="1" w:styleId="276">
    <w:name w:val="标题 5 Char Char Char Char Char Char"/>
    <w:basedOn w:val="49"/>
    <w:qFormat/>
    <w:uiPriority w:val="0"/>
    <w:rPr>
      <w:rFonts w:eastAsia="宋体"/>
      <w:b/>
      <w:kern w:val="44"/>
      <w:sz w:val="28"/>
      <w:lang w:val="en-US" w:eastAsia="zh-CN" w:bidi="ar-SA"/>
    </w:rPr>
  </w:style>
  <w:style w:type="character" w:customStyle="1" w:styleId="277">
    <w:name w:val="标题 字符"/>
    <w:basedOn w:val="49"/>
    <w:link w:val="43"/>
    <w:qFormat/>
    <w:uiPriority w:val="10"/>
    <w:rPr>
      <w:rFonts w:ascii="Cambria" w:hAnsi="Cambria"/>
      <w:b/>
      <w:bCs/>
      <w:kern w:val="28"/>
      <w:sz w:val="32"/>
      <w:szCs w:val="32"/>
      <w:lang w:eastAsia="en-US" w:bidi="en-US"/>
    </w:rPr>
  </w:style>
  <w:style w:type="character" w:customStyle="1" w:styleId="278">
    <w:name w:val="副标题 字符"/>
    <w:basedOn w:val="49"/>
    <w:link w:val="34"/>
    <w:uiPriority w:val="11"/>
    <w:rPr>
      <w:rFonts w:ascii="Cambria" w:hAnsi="Cambria"/>
      <w:sz w:val="24"/>
      <w:szCs w:val="24"/>
      <w:lang w:eastAsia="en-US" w:bidi="en-US"/>
    </w:rPr>
  </w:style>
  <w:style w:type="paragraph" w:styleId="279">
    <w:name w:val="No Spacing"/>
    <w:basedOn w:val="1"/>
    <w:qFormat/>
    <w:uiPriority w:val="1"/>
    <w:pPr>
      <w:widowControl/>
      <w:jc w:val="left"/>
    </w:pPr>
    <w:rPr>
      <w:rFonts w:ascii="Calibri" w:hAnsi="Calibri"/>
      <w:kern w:val="0"/>
      <w:sz w:val="24"/>
      <w:szCs w:val="32"/>
      <w:lang w:eastAsia="en-US" w:bidi="en-US"/>
    </w:rPr>
  </w:style>
  <w:style w:type="paragraph" w:styleId="280">
    <w:name w:val="Quote"/>
    <w:basedOn w:val="1"/>
    <w:next w:val="1"/>
    <w:link w:val="281"/>
    <w:qFormat/>
    <w:uiPriority w:val="29"/>
    <w:pPr>
      <w:widowControl/>
      <w:jc w:val="left"/>
    </w:pPr>
    <w:rPr>
      <w:rFonts w:ascii="Calibri" w:hAnsi="Calibri"/>
      <w:i/>
      <w:kern w:val="0"/>
      <w:sz w:val="24"/>
      <w:szCs w:val="24"/>
      <w:lang w:eastAsia="en-US" w:bidi="en-US"/>
    </w:rPr>
  </w:style>
  <w:style w:type="character" w:customStyle="1" w:styleId="281">
    <w:name w:val="引用 字符"/>
    <w:basedOn w:val="49"/>
    <w:link w:val="280"/>
    <w:uiPriority w:val="29"/>
    <w:rPr>
      <w:rFonts w:ascii="Calibri" w:hAnsi="Calibri"/>
      <w:i/>
      <w:sz w:val="24"/>
      <w:szCs w:val="24"/>
      <w:lang w:eastAsia="en-US" w:bidi="en-US"/>
    </w:rPr>
  </w:style>
  <w:style w:type="paragraph" w:styleId="282">
    <w:name w:val="Intense Quote"/>
    <w:basedOn w:val="1"/>
    <w:next w:val="1"/>
    <w:link w:val="283"/>
    <w:qFormat/>
    <w:uiPriority w:val="30"/>
    <w:pPr>
      <w:widowControl/>
      <w:ind w:left="720" w:right="720"/>
      <w:jc w:val="left"/>
    </w:pPr>
    <w:rPr>
      <w:rFonts w:ascii="Calibri" w:hAnsi="Calibri"/>
      <w:b/>
      <w:i/>
      <w:kern w:val="0"/>
      <w:sz w:val="24"/>
      <w:szCs w:val="22"/>
      <w:lang w:eastAsia="en-US" w:bidi="en-US"/>
    </w:rPr>
  </w:style>
  <w:style w:type="character" w:customStyle="1" w:styleId="283">
    <w:name w:val="明显引用 字符"/>
    <w:basedOn w:val="49"/>
    <w:link w:val="282"/>
    <w:qFormat/>
    <w:uiPriority w:val="30"/>
    <w:rPr>
      <w:rFonts w:ascii="Calibri" w:hAnsi="Calibri"/>
      <w:b/>
      <w:i/>
      <w:sz w:val="24"/>
      <w:szCs w:val="22"/>
      <w:lang w:eastAsia="en-US" w:bidi="en-US"/>
    </w:rPr>
  </w:style>
  <w:style w:type="character" w:customStyle="1" w:styleId="284">
    <w:name w:val="Subtle Emphasis"/>
    <w:qFormat/>
    <w:uiPriority w:val="19"/>
    <w:rPr>
      <w:i/>
      <w:color w:val="5A5A5A"/>
    </w:rPr>
  </w:style>
  <w:style w:type="character" w:customStyle="1" w:styleId="285">
    <w:name w:val="Intense Emphasis"/>
    <w:basedOn w:val="49"/>
    <w:qFormat/>
    <w:uiPriority w:val="21"/>
    <w:rPr>
      <w:b/>
      <w:i/>
      <w:sz w:val="24"/>
      <w:szCs w:val="24"/>
      <w:u w:val="single"/>
    </w:rPr>
  </w:style>
  <w:style w:type="character" w:customStyle="1" w:styleId="286">
    <w:name w:val="Subtle Reference"/>
    <w:basedOn w:val="49"/>
    <w:qFormat/>
    <w:uiPriority w:val="31"/>
    <w:rPr>
      <w:sz w:val="24"/>
      <w:szCs w:val="24"/>
      <w:u w:val="single"/>
    </w:rPr>
  </w:style>
  <w:style w:type="character" w:customStyle="1" w:styleId="287">
    <w:name w:val="Intense Reference"/>
    <w:basedOn w:val="49"/>
    <w:qFormat/>
    <w:uiPriority w:val="32"/>
    <w:rPr>
      <w:b/>
      <w:sz w:val="24"/>
      <w:u w:val="single"/>
    </w:rPr>
  </w:style>
  <w:style w:type="character" w:customStyle="1" w:styleId="288">
    <w:name w:val="Book Title"/>
    <w:basedOn w:val="49"/>
    <w:qFormat/>
    <w:uiPriority w:val="33"/>
    <w:rPr>
      <w:rFonts w:ascii="Cambria" w:hAnsi="Cambria" w:eastAsia="宋体"/>
      <w:b/>
      <w:i/>
      <w:sz w:val="24"/>
      <w:szCs w:val="24"/>
    </w:rPr>
  </w:style>
  <w:style w:type="paragraph" w:customStyle="1" w:styleId="289">
    <w:name w:val="TOC Heading"/>
    <w:basedOn w:val="2"/>
    <w:next w:val="1"/>
    <w:qFormat/>
    <w:uiPriority w:val="39"/>
    <w:pPr>
      <w:keepLines w:val="0"/>
      <w:widowControl/>
      <w:spacing w:before="240" w:after="60" w:line="240" w:lineRule="auto"/>
      <w:jc w:val="left"/>
      <w:outlineLvl w:val="9"/>
    </w:pPr>
    <w:rPr>
      <w:rFonts w:ascii="Cambria" w:hAnsi="Cambria"/>
      <w:kern w:val="32"/>
      <w:sz w:val="32"/>
      <w:szCs w:val="32"/>
      <w:lang w:eastAsia="en-US" w:bidi="en-US"/>
    </w:rPr>
  </w:style>
  <w:style w:type="paragraph" w:customStyle="1" w:styleId="290">
    <w:name w:val="一级"/>
    <w:basedOn w:val="1"/>
    <w:qFormat/>
    <w:uiPriority w:val="0"/>
    <w:pPr>
      <w:tabs>
        <w:tab w:val="left" w:pos="10710"/>
      </w:tabs>
      <w:spacing w:line="360" w:lineRule="auto"/>
      <w:jc w:val="center"/>
      <w:outlineLvl w:val="0"/>
    </w:pPr>
    <w:rPr>
      <w:rFonts w:eastAsia="仿宋_GB2312"/>
      <w:b/>
      <w:sz w:val="48"/>
    </w:rPr>
  </w:style>
  <w:style w:type="paragraph" w:customStyle="1" w:styleId="291">
    <w:name w:val="111"/>
    <w:basedOn w:val="1"/>
    <w:qFormat/>
    <w:uiPriority w:val="0"/>
    <w:pPr>
      <w:tabs>
        <w:tab w:val="left" w:pos="525"/>
      </w:tabs>
      <w:adjustRightInd w:val="0"/>
      <w:snapToGrid w:val="0"/>
      <w:spacing w:line="360" w:lineRule="auto"/>
    </w:pPr>
    <w:rPr>
      <w:rFonts w:eastAsia="仿宋_GB2312"/>
      <w:b/>
      <w:sz w:val="32"/>
      <w:szCs w:val="32"/>
    </w:rPr>
  </w:style>
  <w:style w:type="character" w:customStyle="1" w:styleId="292">
    <w:name w:val="hei141"/>
    <w:basedOn w:val="49"/>
    <w:qFormat/>
    <w:uiPriority w:val="0"/>
    <w:rPr>
      <w:color w:val="000000"/>
      <w:sz w:val="26"/>
      <w:szCs w:val="26"/>
    </w:rPr>
  </w:style>
  <w:style w:type="character" w:customStyle="1" w:styleId="293">
    <w:name w:val="样式 正文首行缩进 + 首行缩进:  1 字符 Char Char"/>
    <w:qFormat/>
    <w:uiPriority w:val="0"/>
    <w:rPr>
      <w:sz w:val="24"/>
    </w:rPr>
  </w:style>
  <w:style w:type="paragraph" w:customStyle="1" w:styleId="294">
    <w:name w:val="标题1"/>
    <w:basedOn w:val="3"/>
    <w:qFormat/>
    <w:uiPriority w:val="0"/>
    <w:pPr>
      <w:spacing w:after="0" w:line="360" w:lineRule="auto"/>
      <w:ind w:left="1671" w:hanging="1671"/>
    </w:pPr>
    <w:rPr>
      <w:rFonts w:ascii="Times New Roman" w:hAnsi="Times New Roman" w:eastAsia="仿宋_GB2312" w:cs="宋体"/>
      <w:szCs w:val="20"/>
    </w:rPr>
  </w:style>
  <w:style w:type="paragraph" w:customStyle="1" w:styleId="295">
    <w:name w:val="样式 标题 3标题2 + 非加粗"/>
    <w:basedOn w:val="4"/>
    <w:qFormat/>
    <w:uiPriority w:val="0"/>
    <w:rPr>
      <w:bCs w:val="0"/>
    </w:rPr>
  </w:style>
  <w:style w:type="paragraph" w:customStyle="1" w:styleId="296">
    <w:name w:val="样式 样式 标题 4标题 4 Char（一） + 段后: 0.5 行 + 段后: 0.5 行"/>
    <w:basedOn w:val="159"/>
    <w:qFormat/>
    <w:uiPriority w:val="0"/>
    <w:pPr>
      <w:spacing w:after="156"/>
    </w:pPr>
    <w:rPr>
      <w:rFonts w:eastAsia="仿宋_GB2312" w:cs="宋体"/>
      <w:szCs w:val="20"/>
    </w:rPr>
  </w:style>
  <w:style w:type="character" w:customStyle="1" w:styleId="297">
    <w:name w:val="批注文字 字符"/>
    <w:basedOn w:val="49"/>
    <w:link w:val="18"/>
    <w:semiHidden/>
    <w:qFormat/>
    <w:uiPriority w:val="99"/>
    <w:rPr>
      <w:kern w:val="2"/>
      <w:sz w:val="21"/>
    </w:rPr>
  </w:style>
  <w:style w:type="character" w:customStyle="1" w:styleId="298">
    <w:name w:val="批注主题 字符"/>
    <w:basedOn w:val="297"/>
    <w:link w:val="44"/>
    <w:semiHidden/>
    <w:qFormat/>
    <w:uiPriority w:val="99"/>
    <w:rPr>
      <w:b/>
      <w:bCs/>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AA0A10-CBD9-4A6B-B2F4-328198611FC2}">
  <ds:schemaRefs/>
</ds:datastoreItem>
</file>

<file path=docProps/app.xml><?xml version="1.0" encoding="utf-8"?>
<Properties xmlns="http://schemas.openxmlformats.org/officeDocument/2006/extended-properties" xmlns:vt="http://schemas.openxmlformats.org/officeDocument/2006/docPropsVTypes">
  <Template>Normal</Template>
  <Company>hsdi</Company>
  <Pages>34</Pages>
  <Words>36038</Words>
  <Characters>40644</Characters>
  <Lines>304</Lines>
  <Paragraphs>85</Paragraphs>
  <TotalTime>16</TotalTime>
  <ScaleCrop>false</ScaleCrop>
  <LinksUpToDate>false</LinksUpToDate>
  <CharactersWithSpaces>40930</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2021-11-01T13:04:00Z</dcterms:created>
  <dc:creator>wcy</dc:creator>
  <cp:lastModifiedBy>15956978800</cp:lastModifiedBy>
  <cp:lastPrinted>2021-11-01T13:49:00Z</cp:lastPrinted>
  <dcterms:modified xsi:type="dcterms:W3CDTF">2022-06-22T06:56:15Z</dcterms:modified>
  <dc:title>总体设计说明</dc:title>
  <cp:revision>107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4F748182CAAC419DAE1B4F6B117A4D08</vt:lpwstr>
  </property>
</Properties>
</file>